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1D327" w14:textId="2F801C45" w:rsidR="001E3BCE" w:rsidRPr="004842FB" w:rsidRDefault="001E3BCE" w:rsidP="001E3BCE">
      <w:pPr>
        <w:widowControl/>
        <w:autoSpaceDE/>
        <w:adjustRightInd/>
        <w:jc w:val="left"/>
        <w:rPr>
          <w:rFonts w:ascii="Bookman Old Style" w:hAnsi="Bookman Old Style" w:cs="Arial"/>
          <w:bCs/>
        </w:rPr>
      </w:pPr>
      <w:r w:rsidRPr="004842FB">
        <w:rPr>
          <w:rFonts w:ascii="Bookman Old Style" w:hAnsi="Bookman Old Style" w:cs="Arial"/>
        </w:rPr>
        <w:t xml:space="preserve">              </w:t>
      </w:r>
      <w:r w:rsidRPr="004842FB">
        <w:rPr>
          <w:rFonts w:ascii="Bookman Old Style" w:hAnsi="Bookman Old Style" w:cs="Arial"/>
          <w:noProof/>
        </w:rPr>
        <w:drawing>
          <wp:inline distT="0" distB="0" distL="0" distR="0" wp14:anchorId="49C479E8" wp14:editId="11858B08">
            <wp:extent cx="466725" cy="800100"/>
            <wp:effectExtent l="0" t="0" r="9525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E71F5" w14:textId="77777777" w:rsidR="001E3BCE" w:rsidRPr="004842FB" w:rsidRDefault="001E3BCE" w:rsidP="001E3BCE">
      <w:pPr>
        <w:widowControl/>
        <w:autoSpaceDE/>
        <w:adjustRightInd/>
        <w:jc w:val="left"/>
        <w:rPr>
          <w:rFonts w:ascii="Bookman Old Style" w:hAnsi="Bookman Old Style" w:cs="Arial"/>
          <w:bCs/>
        </w:rPr>
      </w:pPr>
      <w:r w:rsidRPr="004842FB">
        <w:rPr>
          <w:rFonts w:ascii="Bookman Old Style" w:hAnsi="Bookman Old Style" w:cs="Arial"/>
          <w:bCs/>
        </w:rPr>
        <w:t>REPUBLIKA HRVATSKA</w:t>
      </w:r>
    </w:p>
    <w:p w14:paraId="4C66A855" w14:textId="77777777" w:rsidR="001E3BCE" w:rsidRPr="00FE12D2" w:rsidRDefault="001E3BCE" w:rsidP="001E3BCE">
      <w:pPr>
        <w:widowControl/>
        <w:pBdr>
          <w:bottom w:val="single" w:sz="4" w:space="1" w:color="auto"/>
        </w:pBdr>
        <w:autoSpaceDE/>
        <w:adjustRightInd/>
        <w:rPr>
          <w:rFonts w:ascii="Times New Roman" w:hAnsi="Times New Roman"/>
          <w:bCs/>
        </w:rPr>
      </w:pPr>
      <w:r w:rsidRPr="00FE12D2">
        <w:rPr>
          <w:rFonts w:ascii="Times New Roman" w:hAnsi="Times New Roman"/>
          <w:bCs/>
        </w:rPr>
        <w:t>DRŽAVNI URED ZA REVIZIJU</w:t>
      </w:r>
    </w:p>
    <w:p w14:paraId="1954A70A" w14:textId="73EE4112" w:rsidR="001E3BCE" w:rsidRPr="004664E6" w:rsidRDefault="001E3BCE" w:rsidP="001E3BC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A357C">
        <w:rPr>
          <w:rFonts w:ascii="Arial" w:hAnsi="Arial" w:cs="Arial"/>
          <w:sz w:val="24"/>
          <w:szCs w:val="24"/>
        </w:rPr>
        <w:t xml:space="preserve">KLASA: </w:t>
      </w:r>
      <w:r w:rsidR="005E6366" w:rsidRPr="004664E6">
        <w:rPr>
          <w:rFonts w:ascii="Arial" w:hAnsi="Arial" w:cs="Arial"/>
          <w:sz w:val="24"/>
          <w:szCs w:val="24"/>
        </w:rPr>
        <w:t>400-01/23-0</w:t>
      </w:r>
      <w:r w:rsidR="004664E6" w:rsidRPr="004664E6">
        <w:rPr>
          <w:rFonts w:ascii="Arial" w:hAnsi="Arial" w:cs="Arial"/>
          <w:sz w:val="24"/>
          <w:szCs w:val="24"/>
        </w:rPr>
        <w:t>6/8</w:t>
      </w:r>
    </w:p>
    <w:p w14:paraId="5F98DC29" w14:textId="0A33C533" w:rsidR="001E3BCE" w:rsidRPr="004664E6" w:rsidRDefault="00243204" w:rsidP="001E3BCE">
      <w:pPr>
        <w:widowControl/>
        <w:autoSpaceDE/>
        <w:adjustRightInd/>
        <w:rPr>
          <w:rFonts w:cs="Arial"/>
        </w:rPr>
      </w:pPr>
      <w:r w:rsidRPr="004664E6">
        <w:rPr>
          <w:rFonts w:cs="Arial"/>
        </w:rPr>
        <w:t>URBROJ: 613-01-01-2</w:t>
      </w:r>
      <w:r w:rsidR="004664E6" w:rsidRPr="004664E6">
        <w:rPr>
          <w:rFonts w:cs="Arial"/>
        </w:rPr>
        <w:t>3</w:t>
      </w:r>
      <w:r w:rsidR="00644778">
        <w:rPr>
          <w:rFonts w:cs="Arial"/>
        </w:rPr>
        <w:t>-4</w:t>
      </w:r>
    </w:p>
    <w:p w14:paraId="0642ED36" w14:textId="77777777" w:rsidR="001E3BCE" w:rsidRPr="00CA357C" w:rsidRDefault="001E3BCE" w:rsidP="001E3BCE">
      <w:pPr>
        <w:widowControl/>
        <w:autoSpaceDE/>
        <w:adjustRightInd/>
        <w:rPr>
          <w:rFonts w:cs="Arial"/>
          <w:highlight w:val="yellow"/>
        </w:rPr>
      </w:pPr>
    </w:p>
    <w:p w14:paraId="5092DBB3" w14:textId="3475E3F3" w:rsidR="001E3BCE" w:rsidRPr="00CA357C" w:rsidRDefault="001E3BCE" w:rsidP="001E3BCE">
      <w:pPr>
        <w:widowControl/>
        <w:autoSpaceDE/>
        <w:adjustRightInd/>
        <w:rPr>
          <w:rFonts w:cs="Arial"/>
        </w:rPr>
      </w:pPr>
      <w:r w:rsidRPr="00AA737D">
        <w:rPr>
          <w:rFonts w:cs="Arial"/>
        </w:rPr>
        <w:t>Zagreb,</w:t>
      </w:r>
      <w:r w:rsidR="000C641D" w:rsidRPr="00AA737D">
        <w:rPr>
          <w:rFonts w:cs="Arial"/>
        </w:rPr>
        <w:t xml:space="preserve"> </w:t>
      </w:r>
      <w:r w:rsidR="006A79F1">
        <w:rPr>
          <w:rFonts w:cs="Arial"/>
        </w:rPr>
        <w:t>04. rujna</w:t>
      </w:r>
      <w:r w:rsidR="00DF12AA" w:rsidRPr="00AA737D">
        <w:rPr>
          <w:rFonts w:cs="Arial"/>
        </w:rPr>
        <w:t xml:space="preserve"> </w:t>
      </w:r>
      <w:r w:rsidR="00EB77B9" w:rsidRPr="00AA737D">
        <w:rPr>
          <w:rFonts w:cs="Arial"/>
        </w:rPr>
        <w:t>202</w:t>
      </w:r>
      <w:r w:rsidR="005E6366" w:rsidRPr="00AA737D">
        <w:rPr>
          <w:rFonts w:cs="Arial"/>
        </w:rPr>
        <w:t>3</w:t>
      </w:r>
      <w:r w:rsidRPr="00AA737D">
        <w:rPr>
          <w:rFonts w:cs="Arial"/>
        </w:rPr>
        <w:t>.</w:t>
      </w:r>
    </w:p>
    <w:p w14:paraId="2D034CE0" w14:textId="77777777" w:rsidR="001E3BCE" w:rsidRPr="00CA357C" w:rsidRDefault="001E3BCE" w:rsidP="001E3BCE">
      <w:pPr>
        <w:widowControl/>
        <w:autoSpaceDE/>
        <w:adjustRightInd/>
        <w:rPr>
          <w:rFonts w:cs="Arial"/>
          <w:highlight w:val="yellow"/>
        </w:rPr>
      </w:pPr>
    </w:p>
    <w:p w14:paraId="72A907F6" w14:textId="77777777" w:rsidR="001E3BCE" w:rsidRPr="00CA357C" w:rsidRDefault="001E3BCE" w:rsidP="001E3BCE">
      <w:pPr>
        <w:rPr>
          <w:rFonts w:cs="Arial"/>
          <w:highlight w:val="yellow"/>
        </w:rPr>
      </w:pPr>
    </w:p>
    <w:p w14:paraId="486D79B4" w14:textId="227FC11E" w:rsidR="00D551D2" w:rsidRPr="00CA357C" w:rsidRDefault="00D551D2" w:rsidP="001E3BCE">
      <w:pPr>
        <w:rPr>
          <w:rFonts w:cs="Arial"/>
        </w:rPr>
      </w:pPr>
    </w:p>
    <w:p w14:paraId="2AE2BD4B" w14:textId="77777777" w:rsidR="00D551D2" w:rsidRPr="00CA357C" w:rsidRDefault="00D551D2" w:rsidP="001E3BCE">
      <w:pPr>
        <w:rPr>
          <w:rFonts w:cs="Arial"/>
          <w:highlight w:val="yellow"/>
        </w:rPr>
      </w:pPr>
    </w:p>
    <w:p w14:paraId="5784A3FC" w14:textId="77777777" w:rsidR="00D551D2" w:rsidRPr="00CA357C" w:rsidRDefault="00D551D2" w:rsidP="001E3BCE">
      <w:pPr>
        <w:rPr>
          <w:rFonts w:cs="Arial"/>
          <w:highlight w:val="yellow"/>
        </w:rPr>
      </w:pPr>
    </w:p>
    <w:p w14:paraId="1693EE2A" w14:textId="77777777" w:rsidR="00D551D2" w:rsidRPr="00CA357C" w:rsidRDefault="00D551D2" w:rsidP="001E3BCE">
      <w:pPr>
        <w:rPr>
          <w:rFonts w:cs="Arial"/>
          <w:highlight w:val="yellow"/>
        </w:rPr>
      </w:pPr>
    </w:p>
    <w:p w14:paraId="44247F26" w14:textId="77777777" w:rsidR="00D551D2" w:rsidRPr="00CA357C" w:rsidRDefault="00D551D2" w:rsidP="001E3BCE">
      <w:pPr>
        <w:rPr>
          <w:rFonts w:cs="Arial"/>
          <w:highlight w:val="yellow"/>
        </w:rPr>
      </w:pPr>
    </w:p>
    <w:p w14:paraId="472EAFFE" w14:textId="77777777" w:rsidR="00D551D2" w:rsidRPr="00CA357C" w:rsidRDefault="00D551D2" w:rsidP="001E3BCE">
      <w:pPr>
        <w:rPr>
          <w:rFonts w:cs="Arial"/>
          <w:highlight w:val="yellow"/>
        </w:rPr>
      </w:pPr>
    </w:p>
    <w:p w14:paraId="65227F49" w14:textId="77777777" w:rsidR="00D551D2" w:rsidRPr="00CA357C" w:rsidRDefault="00D551D2" w:rsidP="001E3BCE">
      <w:pPr>
        <w:rPr>
          <w:rFonts w:cs="Arial"/>
          <w:highlight w:val="yellow"/>
        </w:rPr>
      </w:pPr>
    </w:p>
    <w:p w14:paraId="7779EF74" w14:textId="77777777" w:rsidR="00D551D2" w:rsidRPr="00CA357C" w:rsidRDefault="00D551D2" w:rsidP="001E3BCE">
      <w:pPr>
        <w:rPr>
          <w:rFonts w:cs="Arial"/>
          <w:highlight w:val="yellow"/>
        </w:rPr>
      </w:pPr>
    </w:p>
    <w:p w14:paraId="1BE4307A" w14:textId="77777777" w:rsidR="00D551D2" w:rsidRPr="00CA357C" w:rsidRDefault="00D551D2" w:rsidP="001E3BCE">
      <w:pPr>
        <w:rPr>
          <w:rFonts w:cs="Arial"/>
          <w:highlight w:val="yellow"/>
        </w:rPr>
      </w:pPr>
    </w:p>
    <w:p w14:paraId="1C246B33" w14:textId="77777777" w:rsidR="00D551D2" w:rsidRPr="00CA357C" w:rsidRDefault="00D551D2" w:rsidP="001E3BCE">
      <w:pPr>
        <w:rPr>
          <w:rFonts w:cs="Arial"/>
          <w:highlight w:val="yellow"/>
        </w:rPr>
      </w:pPr>
    </w:p>
    <w:p w14:paraId="3C3143D1" w14:textId="77777777" w:rsidR="00D551D2" w:rsidRPr="00CA357C" w:rsidRDefault="00D551D2" w:rsidP="001E3BCE">
      <w:pPr>
        <w:rPr>
          <w:rFonts w:cs="Arial"/>
          <w:highlight w:val="yellow"/>
        </w:rPr>
      </w:pPr>
    </w:p>
    <w:p w14:paraId="49037CEC" w14:textId="77777777" w:rsidR="00D551D2" w:rsidRPr="00CA357C" w:rsidRDefault="00D551D2" w:rsidP="001E3BCE">
      <w:pPr>
        <w:rPr>
          <w:rFonts w:cs="Arial"/>
          <w:highlight w:val="yellow"/>
        </w:rPr>
      </w:pPr>
    </w:p>
    <w:p w14:paraId="25DC34F7" w14:textId="77777777" w:rsidR="00D551D2" w:rsidRPr="00CA357C" w:rsidRDefault="00D551D2" w:rsidP="001E3BCE">
      <w:pPr>
        <w:rPr>
          <w:rFonts w:cs="Arial"/>
          <w:highlight w:val="yellow"/>
        </w:rPr>
      </w:pPr>
    </w:p>
    <w:p w14:paraId="355599E2" w14:textId="566636C9" w:rsidR="000605F3" w:rsidRPr="00CA357C" w:rsidRDefault="000605F3" w:rsidP="000605F3">
      <w:pPr>
        <w:spacing w:line="360" w:lineRule="auto"/>
        <w:jc w:val="center"/>
        <w:rPr>
          <w:rFonts w:cs="Arial"/>
          <w:b/>
        </w:rPr>
      </w:pPr>
      <w:r w:rsidRPr="00CA357C">
        <w:rPr>
          <w:rFonts w:cs="Arial"/>
          <w:b/>
        </w:rPr>
        <w:t xml:space="preserve">IZVJEŠTAJ O POLUGODIŠNJEM IZVRŠENJU FINANCIJSKOG PLANA </w:t>
      </w:r>
    </w:p>
    <w:p w14:paraId="77B3799C" w14:textId="39AF4D79" w:rsidR="00D551D2" w:rsidRPr="00CA357C" w:rsidRDefault="000605F3" w:rsidP="000605F3">
      <w:pPr>
        <w:spacing w:line="360" w:lineRule="auto"/>
        <w:jc w:val="center"/>
        <w:rPr>
          <w:rFonts w:cs="Arial"/>
          <w:b/>
        </w:rPr>
      </w:pPr>
      <w:r w:rsidRPr="00CA357C">
        <w:rPr>
          <w:rFonts w:cs="Arial"/>
          <w:b/>
        </w:rPr>
        <w:t>DRŽAVNOG UREDA ZA REVIZIJU ZA 2023.</w:t>
      </w:r>
    </w:p>
    <w:p w14:paraId="3B4D4DEF" w14:textId="77777777" w:rsidR="00D551D2" w:rsidRPr="00CA357C" w:rsidRDefault="00D551D2" w:rsidP="000605F3">
      <w:pPr>
        <w:spacing w:line="360" w:lineRule="auto"/>
        <w:rPr>
          <w:rFonts w:cs="Arial"/>
        </w:rPr>
      </w:pPr>
    </w:p>
    <w:p w14:paraId="1FB391D5" w14:textId="77777777" w:rsidR="00D551D2" w:rsidRPr="00CA357C" w:rsidRDefault="00D551D2" w:rsidP="001E3BCE">
      <w:pPr>
        <w:rPr>
          <w:rFonts w:cs="Arial"/>
        </w:rPr>
      </w:pPr>
    </w:p>
    <w:p w14:paraId="46EE6136" w14:textId="77777777" w:rsidR="00D551D2" w:rsidRPr="00CA357C" w:rsidRDefault="00D551D2" w:rsidP="001E3BCE">
      <w:pPr>
        <w:rPr>
          <w:rFonts w:cs="Arial"/>
        </w:rPr>
      </w:pPr>
    </w:p>
    <w:p w14:paraId="42141D5F" w14:textId="77777777" w:rsidR="00D551D2" w:rsidRPr="00CA357C" w:rsidRDefault="00D551D2" w:rsidP="001E3BCE">
      <w:pPr>
        <w:rPr>
          <w:rFonts w:cs="Arial"/>
        </w:rPr>
      </w:pPr>
    </w:p>
    <w:p w14:paraId="18B7ADAA" w14:textId="77777777" w:rsidR="00D551D2" w:rsidRPr="00CA357C" w:rsidRDefault="00D551D2" w:rsidP="001E3BCE">
      <w:pPr>
        <w:rPr>
          <w:rFonts w:cs="Arial"/>
        </w:rPr>
      </w:pPr>
    </w:p>
    <w:p w14:paraId="598E18AA" w14:textId="77777777" w:rsidR="00D551D2" w:rsidRPr="00CA357C" w:rsidRDefault="00D551D2" w:rsidP="001E3BCE">
      <w:pPr>
        <w:rPr>
          <w:rFonts w:cs="Arial"/>
        </w:rPr>
      </w:pPr>
    </w:p>
    <w:p w14:paraId="3B551DA8" w14:textId="77777777" w:rsidR="00D551D2" w:rsidRPr="00CA357C" w:rsidRDefault="00D551D2" w:rsidP="001E3BCE">
      <w:pPr>
        <w:rPr>
          <w:rFonts w:cs="Arial"/>
        </w:rPr>
      </w:pPr>
    </w:p>
    <w:p w14:paraId="4B5F7F16" w14:textId="77777777" w:rsidR="00D551D2" w:rsidRPr="00CA357C" w:rsidRDefault="00D551D2" w:rsidP="001E3BCE">
      <w:pPr>
        <w:rPr>
          <w:rFonts w:cs="Arial"/>
        </w:rPr>
      </w:pPr>
    </w:p>
    <w:p w14:paraId="299B4CA7" w14:textId="77777777" w:rsidR="00D551D2" w:rsidRPr="00CA357C" w:rsidRDefault="00D551D2" w:rsidP="001E3BCE">
      <w:pPr>
        <w:rPr>
          <w:rFonts w:cs="Arial"/>
        </w:rPr>
      </w:pPr>
    </w:p>
    <w:p w14:paraId="45D87E75" w14:textId="77777777" w:rsidR="00D551D2" w:rsidRPr="00CA357C" w:rsidRDefault="00D551D2" w:rsidP="001E3BCE">
      <w:pPr>
        <w:rPr>
          <w:rFonts w:cs="Arial"/>
        </w:rPr>
      </w:pPr>
    </w:p>
    <w:p w14:paraId="1D78158A" w14:textId="77777777" w:rsidR="00D551D2" w:rsidRPr="00CA357C" w:rsidRDefault="00D551D2" w:rsidP="001E3BCE">
      <w:pPr>
        <w:rPr>
          <w:rFonts w:cs="Arial"/>
        </w:rPr>
      </w:pPr>
    </w:p>
    <w:p w14:paraId="22DF0A1A" w14:textId="77777777" w:rsidR="00D551D2" w:rsidRPr="00CA357C" w:rsidRDefault="00D551D2" w:rsidP="001E3BCE">
      <w:pPr>
        <w:rPr>
          <w:rFonts w:cs="Arial"/>
        </w:rPr>
      </w:pPr>
    </w:p>
    <w:p w14:paraId="61935F69" w14:textId="77777777" w:rsidR="00D551D2" w:rsidRPr="00CA357C" w:rsidRDefault="00D551D2" w:rsidP="001E3BCE">
      <w:pPr>
        <w:rPr>
          <w:rFonts w:cs="Arial"/>
        </w:rPr>
      </w:pPr>
    </w:p>
    <w:p w14:paraId="6DC0226C" w14:textId="77777777" w:rsidR="00D551D2" w:rsidRPr="00CA357C" w:rsidRDefault="00D551D2" w:rsidP="001E3BCE">
      <w:pPr>
        <w:rPr>
          <w:rFonts w:cs="Arial"/>
        </w:rPr>
      </w:pPr>
    </w:p>
    <w:p w14:paraId="7EF57CEC" w14:textId="77777777" w:rsidR="00D551D2" w:rsidRPr="00CA357C" w:rsidRDefault="00D551D2" w:rsidP="001E3BCE">
      <w:pPr>
        <w:rPr>
          <w:rFonts w:cs="Arial"/>
        </w:rPr>
      </w:pPr>
    </w:p>
    <w:p w14:paraId="2AC654F5" w14:textId="77777777" w:rsidR="00D551D2" w:rsidRPr="00CA357C" w:rsidRDefault="00D551D2" w:rsidP="001E3BCE">
      <w:pPr>
        <w:rPr>
          <w:rFonts w:cs="Arial"/>
        </w:rPr>
      </w:pPr>
    </w:p>
    <w:p w14:paraId="15B61226" w14:textId="77777777" w:rsidR="00D551D2" w:rsidRPr="00CA357C" w:rsidRDefault="00D551D2" w:rsidP="001E3BCE">
      <w:pPr>
        <w:rPr>
          <w:rFonts w:cs="Arial"/>
        </w:rPr>
      </w:pPr>
    </w:p>
    <w:p w14:paraId="04E2F8CD" w14:textId="77777777" w:rsidR="006417D3" w:rsidRPr="00CA357C" w:rsidRDefault="006417D3" w:rsidP="001E3BCE">
      <w:pPr>
        <w:rPr>
          <w:rFonts w:cs="Arial"/>
        </w:rPr>
      </w:pPr>
    </w:p>
    <w:p w14:paraId="126F7E68" w14:textId="77777777" w:rsidR="006417D3" w:rsidRPr="00CA357C" w:rsidRDefault="006417D3" w:rsidP="001E3BCE">
      <w:pPr>
        <w:rPr>
          <w:rFonts w:cs="Arial"/>
        </w:rPr>
      </w:pPr>
    </w:p>
    <w:p w14:paraId="5A511C85" w14:textId="77777777" w:rsidR="00D551D2" w:rsidRPr="00CA357C" w:rsidRDefault="00D551D2" w:rsidP="001E3BCE">
      <w:pPr>
        <w:rPr>
          <w:rFonts w:cs="Arial"/>
        </w:rPr>
      </w:pPr>
    </w:p>
    <w:p w14:paraId="048BC0BA" w14:textId="701DAF3F" w:rsidR="00BD6578" w:rsidRPr="00CA357C" w:rsidRDefault="008C6767" w:rsidP="00423243">
      <w:pPr>
        <w:jc w:val="center"/>
        <w:rPr>
          <w:rFonts w:cs="Arial"/>
        </w:rPr>
      </w:pPr>
      <w:r w:rsidRPr="00CA357C">
        <w:rPr>
          <w:rFonts w:cs="Arial"/>
        </w:rPr>
        <w:t xml:space="preserve">Zagreb, </w:t>
      </w:r>
      <w:r w:rsidR="006A79F1">
        <w:rPr>
          <w:rFonts w:cs="Arial"/>
        </w:rPr>
        <w:t>rujan</w:t>
      </w:r>
      <w:r w:rsidR="00A812C6" w:rsidRPr="00CA357C">
        <w:rPr>
          <w:rFonts w:cs="Arial"/>
        </w:rPr>
        <w:t xml:space="preserve"> 202</w:t>
      </w:r>
      <w:r w:rsidR="002B2BA8" w:rsidRPr="00CA357C">
        <w:rPr>
          <w:rFonts w:cs="Arial"/>
        </w:rPr>
        <w:t>3</w:t>
      </w:r>
      <w:r w:rsidR="00C275C0" w:rsidRPr="00CA357C">
        <w:rPr>
          <w:rFonts w:cs="Arial"/>
        </w:rPr>
        <w:t>.</w:t>
      </w:r>
    </w:p>
    <w:p w14:paraId="53C75E06" w14:textId="77777777" w:rsidR="007C4394" w:rsidRPr="00CA357C" w:rsidRDefault="007C4394" w:rsidP="00423243">
      <w:pPr>
        <w:jc w:val="center"/>
        <w:rPr>
          <w:rFonts w:cs="Arial"/>
        </w:rPr>
        <w:sectPr w:rsidR="007C4394" w:rsidRPr="00CA357C" w:rsidSect="009461FD">
          <w:headerReference w:type="first" r:id="rId9"/>
          <w:footerReference w:type="first" r:id="rId10"/>
          <w:pgSz w:w="11906" w:h="16838" w:code="9"/>
          <w:pgMar w:top="1134" w:right="1134" w:bottom="1134" w:left="1134" w:header="567" w:footer="567" w:gutter="0"/>
          <w:pgNumType w:start="1" w:chapStyle="1"/>
          <w:cols w:space="708"/>
          <w:docGrid w:linePitch="360"/>
        </w:sect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81445789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26EED70" w14:textId="61A6EB20" w:rsidR="007C4394" w:rsidRPr="00ED37AA" w:rsidRDefault="001240F0" w:rsidP="00EA44BF">
          <w:pPr>
            <w:pStyle w:val="TOCNaslov"/>
            <w:rPr>
              <w:rFonts w:ascii="Times New Roman" w:hAnsi="Times New Roman" w:cs="Times New Roman"/>
              <w:sz w:val="24"/>
              <w:szCs w:val="24"/>
            </w:rPr>
          </w:pPr>
          <w:r w:rsidRPr="00ED37AA">
            <w:rPr>
              <w:rFonts w:ascii="Times New Roman" w:hAnsi="Times New Roman" w:cs="Times New Roman"/>
              <w:sz w:val="24"/>
              <w:szCs w:val="24"/>
            </w:rPr>
            <w:t>Sadržaj</w:t>
          </w:r>
        </w:p>
        <w:p w14:paraId="5B970FB4" w14:textId="77777777" w:rsidR="00ED37AA" w:rsidRPr="00ED37AA" w:rsidRDefault="00ED37AA" w:rsidP="00ED37AA">
          <w:pPr>
            <w:rPr>
              <w:rFonts w:ascii="Times New Roman" w:hAnsi="Times New Roman"/>
            </w:rPr>
          </w:pPr>
        </w:p>
        <w:p w14:paraId="5D30A952" w14:textId="043912B1" w:rsidR="00ED37AA" w:rsidRDefault="007C4394" w:rsidP="00ED37AA">
          <w:pPr>
            <w:pStyle w:val="Sadraj1"/>
            <w:rPr>
              <w:rStyle w:val="Hiperveza"/>
            </w:rPr>
          </w:pPr>
          <w:r w:rsidRPr="00ED37AA">
            <w:rPr>
              <w:noProof w:val="0"/>
              <w:sz w:val="24"/>
              <w:szCs w:val="24"/>
            </w:rPr>
            <w:fldChar w:fldCharType="begin"/>
          </w:r>
          <w:r w:rsidRPr="00ED37AA">
            <w:rPr>
              <w:sz w:val="24"/>
              <w:szCs w:val="24"/>
            </w:rPr>
            <w:instrText xml:space="preserve"> TOC \o "1-3" \h \z \u </w:instrText>
          </w:r>
          <w:r w:rsidRPr="00ED37AA">
            <w:rPr>
              <w:noProof w:val="0"/>
              <w:sz w:val="24"/>
              <w:szCs w:val="24"/>
            </w:rPr>
            <w:fldChar w:fldCharType="separate"/>
          </w:r>
          <w:hyperlink w:anchor="_Toc144715226" w:history="1">
            <w:r w:rsidR="00ED37AA" w:rsidRPr="00ED37AA">
              <w:rPr>
                <w:rStyle w:val="Hiperveza"/>
              </w:rPr>
              <w:t>1.</w:t>
            </w:r>
            <w:r w:rsidR="00ED37AA" w:rsidRPr="00ED37AA">
              <w:tab/>
            </w:r>
            <w:r w:rsidR="00ED37AA" w:rsidRPr="00ED37AA">
              <w:rPr>
                <w:rStyle w:val="Hiperveza"/>
              </w:rPr>
              <w:t>Uvod</w:t>
            </w:r>
            <w:r w:rsidR="00ED37AA" w:rsidRPr="00ED37AA">
              <w:rPr>
                <w:webHidden/>
              </w:rPr>
              <w:tab/>
            </w:r>
            <w:r w:rsidR="00ED37AA" w:rsidRPr="00ED37AA">
              <w:rPr>
                <w:webHidden/>
              </w:rPr>
              <w:fldChar w:fldCharType="begin"/>
            </w:r>
            <w:r w:rsidR="00ED37AA" w:rsidRPr="00ED37AA">
              <w:rPr>
                <w:webHidden/>
              </w:rPr>
              <w:instrText xml:space="preserve"> PAGEREF _Toc144715226 \h </w:instrText>
            </w:r>
            <w:r w:rsidR="00ED37AA" w:rsidRPr="00ED37AA">
              <w:rPr>
                <w:webHidden/>
              </w:rPr>
            </w:r>
            <w:r w:rsidR="00ED37AA" w:rsidRPr="00ED37AA">
              <w:rPr>
                <w:webHidden/>
              </w:rPr>
              <w:fldChar w:fldCharType="separate"/>
            </w:r>
            <w:r w:rsidR="00094400">
              <w:rPr>
                <w:webHidden/>
              </w:rPr>
              <w:t>2</w:t>
            </w:r>
            <w:r w:rsidR="00ED37AA" w:rsidRPr="00ED37AA">
              <w:rPr>
                <w:webHidden/>
              </w:rPr>
              <w:fldChar w:fldCharType="end"/>
            </w:r>
          </w:hyperlink>
        </w:p>
        <w:p w14:paraId="3F02A039" w14:textId="77777777" w:rsidR="00971A56" w:rsidRPr="00971A56" w:rsidRDefault="00971A56" w:rsidP="00971A56"/>
        <w:p w14:paraId="2EDC9C69" w14:textId="6FB00738" w:rsidR="00ED37AA" w:rsidRPr="00ED37AA" w:rsidRDefault="00BC58CE" w:rsidP="00ED37AA">
          <w:pPr>
            <w:pStyle w:val="Sadraj1"/>
          </w:pPr>
          <w:hyperlink w:anchor="_Toc144715227" w:history="1">
            <w:r w:rsidR="00ED37AA" w:rsidRPr="00ED37AA">
              <w:rPr>
                <w:rStyle w:val="Hiperveza"/>
              </w:rPr>
              <w:t>2.</w:t>
            </w:r>
            <w:r w:rsidR="00ED37AA" w:rsidRPr="00ED37AA">
              <w:tab/>
            </w:r>
            <w:r w:rsidR="00ED37AA" w:rsidRPr="00ED37AA">
              <w:rPr>
                <w:rStyle w:val="Hiperveza"/>
              </w:rPr>
              <w:t>Izvještaj o izvršenju polugodišnjeg plana</w:t>
            </w:r>
            <w:r w:rsidR="00ED37AA" w:rsidRPr="00ED37AA">
              <w:rPr>
                <w:webHidden/>
              </w:rPr>
              <w:tab/>
            </w:r>
            <w:r w:rsidR="00ED37AA" w:rsidRPr="00ED37AA">
              <w:rPr>
                <w:webHidden/>
              </w:rPr>
              <w:fldChar w:fldCharType="begin"/>
            </w:r>
            <w:r w:rsidR="00ED37AA" w:rsidRPr="00ED37AA">
              <w:rPr>
                <w:webHidden/>
              </w:rPr>
              <w:instrText xml:space="preserve"> PAGEREF _Toc144715227 \h </w:instrText>
            </w:r>
            <w:r w:rsidR="00ED37AA" w:rsidRPr="00ED37AA">
              <w:rPr>
                <w:webHidden/>
              </w:rPr>
            </w:r>
            <w:r w:rsidR="00ED37AA" w:rsidRPr="00ED37AA">
              <w:rPr>
                <w:webHidden/>
              </w:rPr>
              <w:fldChar w:fldCharType="separate"/>
            </w:r>
            <w:r w:rsidR="00094400">
              <w:rPr>
                <w:webHidden/>
              </w:rPr>
              <w:t>2</w:t>
            </w:r>
            <w:r w:rsidR="00ED37AA" w:rsidRPr="00ED37AA">
              <w:rPr>
                <w:webHidden/>
              </w:rPr>
              <w:fldChar w:fldCharType="end"/>
            </w:r>
          </w:hyperlink>
        </w:p>
        <w:p w14:paraId="45216C4A" w14:textId="77777777" w:rsidR="00ED37AA" w:rsidRPr="00ED37AA" w:rsidRDefault="00ED37AA" w:rsidP="00ED37AA">
          <w:pPr>
            <w:pStyle w:val="Sadraj2"/>
            <w:rPr>
              <w:rStyle w:val="Hiperveza"/>
              <w:rFonts w:ascii="Times New Roman" w:hAnsi="Times New Roman"/>
              <w:b/>
              <w:noProof/>
            </w:rPr>
          </w:pPr>
        </w:p>
        <w:p w14:paraId="60693804" w14:textId="7BB2BB8A" w:rsidR="00ED37AA" w:rsidRPr="00ED37AA" w:rsidRDefault="00BC58CE" w:rsidP="00ED37AA">
          <w:pPr>
            <w:pStyle w:val="Sadraj2"/>
            <w:rPr>
              <w:rFonts w:ascii="Times New Roman" w:eastAsiaTheme="minorEastAsia" w:hAnsi="Times New Roman"/>
              <w:b/>
              <w:noProof/>
            </w:rPr>
          </w:pPr>
          <w:hyperlink w:anchor="_Toc144715228" w:history="1">
            <w:r w:rsidR="00ED37AA" w:rsidRPr="00ED37AA">
              <w:rPr>
                <w:rStyle w:val="Hiperveza"/>
                <w:rFonts w:ascii="Times New Roman" w:hAnsi="Times New Roman"/>
                <w:b/>
                <w:noProof/>
              </w:rPr>
              <w:t>2.1.</w:t>
            </w:r>
            <w:r w:rsidR="00ED37AA" w:rsidRPr="00ED37AA">
              <w:rPr>
                <w:rFonts w:ascii="Times New Roman" w:eastAsiaTheme="minorEastAsia" w:hAnsi="Times New Roman"/>
                <w:b/>
                <w:noProof/>
              </w:rPr>
              <w:tab/>
            </w:r>
            <w:r w:rsidR="00ED37AA" w:rsidRPr="00ED37AA">
              <w:rPr>
                <w:rStyle w:val="Hiperveza"/>
                <w:rFonts w:ascii="Times New Roman" w:hAnsi="Times New Roman"/>
                <w:b/>
                <w:noProof/>
              </w:rPr>
              <w:t>Opći dio izvještaja o izvršenju polugodišnjeg financijskog plana</w:t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tab/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instrText xml:space="preserve"> PAGEREF _Toc144715228 \h </w:instrText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094400">
              <w:rPr>
                <w:rFonts w:ascii="Times New Roman" w:hAnsi="Times New Roman"/>
                <w:b/>
                <w:noProof/>
                <w:webHidden/>
              </w:rPr>
              <w:t>2</w:t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3F96E36B" w14:textId="0AF30795" w:rsidR="00ED37AA" w:rsidRPr="00ED37AA" w:rsidRDefault="00BC58CE" w:rsidP="00ED37AA">
          <w:pPr>
            <w:pStyle w:val="Sadraj2"/>
            <w:rPr>
              <w:rFonts w:ascii="Times New Roman" w:eastAsiaTheme="minorEastAsia" w:hAnsi="Times New Roman"/>
              <w:b/>
              <w:noProof/>
            </w:rPr>
          </w:pPr>
          <w:hyperlink w:anchor="_Toc144715229" w:history="1">
            <w:r w:rsidR="00ED37AA" w:rsidRPr="00ED37AA">
              <w:rPr>
                <w:rStyle w:val="Hiperveza"/>
                <w:rFonts w:ascii="Times New Roman" w:hAnsi="Times New Roman"/>
                <w:b/>
                <w:noProof/>
              </w:rPr>
              <w:t>2.2.</w:t>
            </w:r>
            <w:r w:rsidR="00ED37AA" w:rsidRPr="00ED37AA">
              <w:rPr>
                <w:rFonts w:ascii="Times New Roman" w:eastAsiaTheme="minorEastAsia" w:hAnsi="Times New Roman"/>
                <w:b/>
                <w:noProof/>
              </w:rPr>
              <w:tab/>
            </w:r>
            <w:r w:rsidR="00ED37AA" w:rsidRPr="00ED37AA">
              <w:rPr>
                <w:rStyle w:val="Hiperveza"/>
                <w:rFonts w:ascii="Times New Roman" w:hAnsi="Times New Roman"/>
                <w:b/>
                <w:noProof/>
              </w:rPr>
              <w:t>Posebni dio izvještaja o izvršenju polugodišnjeg financijskog plana</w:t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tab/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instrText xml:space="preserve"> PAGEREF _Toc144715229 \h </w:instrText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094400">
              <w:rPr>
                <w:rFonts w:ascii="Times New Roman" w:hAnsi="Times New Roman"/>
                <w:b/>
                <w:noProof/>
                <w:webHidden/>
              </w:rPr>
              <w:t>10</w:t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1A9F6447" w14:textId="66EEC0F9" w:rsidR="00ED37AA" w:rsidRPr="00ED37AA" w:rsidRDefault="00BC58CE" w:rsidP="00ED37AA">
          <w:pPr>
            <w:pStyle w:val="Sadraj2"/>
            <w:rPr>
              <w:rFonts w:ascii="Times New Roman" w:eastAsiaTheme="minorEastAsia" w:hAnsi="Times New Roman"/>
              <w:b/>
              <w:noProof/>
            </w:rPr>
          </w:pPr>
          <w:hyperlink w:anchor="_Toc144715230" w:history="1">
            <w:r w:rsidR="00ED37AA" w:rsidRPr="00ED37AA">
              <w:rPr>
                <w:rStyle w:val="Hiperveza"/>
                <w:rFonts w:ascii="Times New Roman" w:hAnsi="Times New Roman"/>
                <w:b/>
                <w:noProof/>
              </w:rPr>
              <w:t>2.3.</w:t>
            </w:r>
            <w:r w:rsidR="00ED37AA" w:rsidRPr="00ED37AA">
              <w:rPr>
                <w:rFonts w:ascii="Times New Roman" w:eastAsiaTheme="minorEastAsia" w:hAnsi="Times New Roman"/>
                <w:b/>
                <w:noProof/>
              </w:rPr>
              <w:tab/>
            </w:r>
            <w:r w:rsidR="00ED37AA" w:rsidRPr="00ED37AA">
              <w:rPr>
                <w:rStyle w:val="Hiperveza"/>
                <w:rFonts w:ascii="Times New Roman" w:hAnsi="Times New Roman"/>
                <w:b/>
                <w:noProof/>
              </w:rPr>
              <w:t>Obrazloženje polugodišnjeg izvještaja o izvršenju financijskog plana za 2023.</w:t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tab/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instrText xml:space="preserve"> PAGEREF _Toc144715230 \h </w:instrText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094400">
              <w:rPr>
                <w:rFonts w:ascii="Times New Roman" w:hAnsi="Times New Roman"/>
                <w:b/>
                <w:noProof/>
                <w:webHidden/>
              </w:rPr>
              <w:t>15</w:t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6FD6BA8D" w14:textId="44718F64" w:rsidR="00ED37AA" w:rsidRPr="00ED37AA" w:rsidRDefault="00BC58CE" w:rsidP="00ED37AA">
          <w:pPr>
            <w:pStyle w:val="Sadraj3"/>
            <w:rPr>
              <w:rFonts w:eastAsiaTheme="minorEastAsia"/>
            </w:rPr>
          </w:pPr>
          <w:hyperlink w:anchor="_Toc144715231" w:history="1">
            <w:r w:rsidR="00ED37AA" w:rsidRPr="00ED37AA">
              <w:rPr>
                <w:rStyle w:val="Hiperveza"/>
              </w:rPr>
              <w:t>2.3.1.</w:t>
            </w:r>
            <w:r w:rsidR="00ED37AA" w:rsidRPr="00ED37AA">
              <w:rPr>
                <w:rFonts w:eastAsiaTheme="minorEastAsia"/>
              </w:rPr>
              <w:tab/>
            </w:r>
            <w:r w:rsidR="00ED37AA" w:rsidRPr="00ED37AA">
              <w:rPr>
                <w:rStyle w:val="Hiperveza"/>
              </w:rPr>
              <w:t>Obrazloženje općeg dijela izvršenja financijskog plana</w:t>
            </w:r>
            <w:r w:rsidR="00ED37AA" w:rsidRPr="00ED37AA">
              <w:rPr>
                <w:webHidden/>
              </w:rPr>
              <w:tab/>
            </w:r>
            <w:r w:rsidR="00ED37AA" w:rsidRPr="00ED37AA">
              <w:rPr>
                <w:webHidden/>
              </w:rPr>
              <w:fldChar w:fldCharType="begin"/>
            </w:r>
            <w:r w:rsidR="00ED37AA" w:rsidRPr="00ED37AA">
              <w:rPr>
                <w:webHidden/>
              </w:rPr>
              <w:instrText xml:space="preserve"> PAGEREF _Toc144715231 \h </w:instrText>
            </w:r>
            <w:r w:rsidR="00ED37AA" w:rsidRPr="00ED37AA">
              <w:rPr>
                <w:webHidden/>
              </w:rPr>
            </w:r>
            <w:r w:rsidR="00ED37AA" w:rsidRPr="00ED37AA">
              <w:rPr>
                <w:webHidden/>
              </w:rPr>
              <w:fldChar w:fldCharType="separate"/>
            </w:r>
            <w:r w:rsidR="00094400">
              <w:rPr>
                <w:webHidden/>
              </w:rPr>
              <w:t>15</w:t>
            </w:r>
            <w:r w:rsidR="00ED37AA" w:rsidRPr="00ED37AA">
              <w:rPr>
                <w:webHidden/>
              </w:rPr>
              <w:fldChar w:fldCharType="end"/>
            </w:r>
          </w:hyperlink>
        </w:p>
        <w:p w14:paraId="1BBFAD5C" w14:textId="5D342B53" w:rsidR="00ED37AA" w:rsidRDefault="00BC58CE" w:rsidP="00ED37AA">
          <w:pPr>
            <w:pStyle w:val="Sadraj2"/>
            <w:rPr>
              <w:rStyle w:val="Hiperveza"/>
              <w:rFonts w:ascii="Times New Roman" w:hAnsi="Times New Roman"/>
              <w:b/>
              <w:noProof/>
            </w:rPr>
          </w:pPr>
          <w:hyperlink w:anchor="_Toc144715232" w:history="1">
            <w:r w:rsidR="00ED37AA" w:rsidRPr="00ED37AA">
              <w:rPr>
                <w:rStyle w:val="Hiperveza"/>
                <w:rFonts w:ascii="Times New Roman" w:hAnsi="Times New Roman"/>
                <w:b/>
                <w:noProof/>
              </w:rPr>
              <w:t>2.4.</w:t>
            </w:r>
            <w:r w:rsidR="00ED37AA" w:rsidRPr="00ED37AA">
              <w:rPr>
                <w:rFonts w:ascii="Times New Roman" w:eastAsiaTheme="minorEastAsia" w:hAnsi="Times New Roman"/>
                <w:b/>
                <w:noProof/>
              </w:rPr>
              <w:tab/>
            </w:r>
            <w:r w:rsidR="00ED37AA" w:rsidRPr="00ED37AA">
              <w:rPr>
                <w:rStyle w:val="Hiperveza"/>
                <w:rFonts w:ascii="Times New Roman" w:hAnsi="Times New Roman"/>
                <w:b/>
                <w:noProof/>
              </w:rPr>
              <w:t>Posebni izvještaj o polugodišnjem izvještaju o izvršenju financijskog plana za   2023.</w:t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tab/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instrText xml:space="preserve"> PAGEREF _Toc144715232 \h </w:instrText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094400">
              <w:rPr>
                <w:rFonts w:ascii="Times New Roman" w:hAnsi="Times New Roman"/>
                <w:b/>
                <w:noProof/>
                <w:webHidden/>
              </w:rPr>
              <w:t>16</w:t>
            </w:r>
            <w:r w:rsidR="00ED37AA" w:rsidRPr="00ED37AA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0FA4ABFB" w14:textId="77777777" w:rsidR="00ED37AA" w:rsidRPr="00ED37AA" w:rsidRDefault="00ED37AA" w:rsidP="00ED37AA">
          <w:pPr>
            <w:rPr>
              <w:rFonts w:eastAsiaTheme="minorEastAsia"/>
            </w:rPr>
          </w:pPr>
        </w:p>
        <w:p w14:paraId="236A58E6" w14:textId="7A7FEEDB" w:rsidR="00ED37AA" w:rsidRPr="00ED37AA" w:rsidRDefault="00BC58CE" w:rsidP="00ED37AA">
          <w:pPr>
            <w:pStyle w:val="Sadraj1"/>
          </w:pPr>
          <w:hyperlink w:anchor="_Toc144715233" w:history="1">
            <w:r w:rsidR="00ED37AA" w:rsidRPr="00ED37AA">
              <w:rPr>
                <w:rStyle w:val="Hiperveza"/>
              </w:rPr>
              <w:t>3.  Popis tablica</w:t>
            </w:r>
            <w:r w:rsidR="00ED37AA" w:rsidRPr="00ED37AA">
              <w:rPr>
                <w:webHidden/>
              </w:rPr>
              <w:tab/>
            </w:r>
            <w:r w:rsidR="00ED37AA" w:rsidRPr="00ED37AA">
              <w:rPr>
                <w:webHidden/>
              </w:rPr>
              <w:fldChar w:fldCharType="begin"/>
            </w:r>
            <w:r w:rsidR="00ED37AA" w:rsidRPr="00ED37AA">
              <w:rPr>
                <w:webHidden/>
              </w:rPr>
              <w:instrText xml:space="preserve"> PAGEREF _Toc144715233 \h </w:instrText>
            </w:r>
            <w:r w:rsidR="00ED37AA" w:rsidRPr="00ED37AA">
              <w:rPr>
                <w:webHidden/>
              </w:rPr>
            </w:r>
            <w:r w:rsidR="00ED37AA" w:rsidRPr="00ED37AA">
              <w:rPr>
                <w:webHidden/>
              </w:rPr>
              <w:fldChar w:fldCharType="separate"/>
            </w:r>
            <w:r w:rsidR="00094400">
              <w:rPr>
                <w:webHidden/>
              </w:rPr>
              <w:t>17</w:t>
            </w:r>
            <w:r w:rsidR="00ED37AA" w:rsidRPr="00ED37AA">
              <w:rPr>
                <w:webHidden/>
              </w:rPr>
              <w:fldChar w:fldCharType="end"/>
            </w:r>
          </w:hyperlink>
        </w:p>
        <w:p w14:paraId="5EFED061" w14:textId="2E99CBEA" w:rsidR="007C4394" w:rsidRPr="00ED37AA" w:rsidRDefault="007C4394" w:rsidP="00EA44BF">
          <w:pPr>
            <w:jc w:val="left"/>
            <w:rPr>
              <w:rFonts w:ascii="Times New Roman" w:hAnsi="Times New Roman"/>
            </w:rPr>
            <w:sectPr w:rsidR="007C4394" w:rsidRPr="00ED37AA" w:rsidSect="009461FD">
              <w:pgSz w:w="11906" w:h="16838" w:code="9"/>
              <w:pgMar w:top="1134" w:right="1134" w:bottom="1134" w:left="1134" w:header="567" w:footer="567" w:gutter="0"/>
              <w:pgNumType w:start="1" w:chapStyle="1"/>
              <w:cols w:space="708"/>
              <w:docGrid w:linePitch="360"/>
            </w:sectPr>
          </w:pPr>
          <w:r w:rsidRPr="00ED37AA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sdtContent>
    </w:sdt>
    <w:p w14:paraId="1D42CB6B" w14:textId="73ECC8D5" w:rsidR="00B70088" w:rsidRPr="000D6EF4" w:rsidRDefault="00134851" w:rsidP="00BD6578">
      <w:pPr>
        <w:pStyle w:val="Naslov1"/>
        <w:numPr>
          <w:ilvl w:val="0"/>
          <w:numId w:val="23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44715226"/>
      <w:r w:rsidRPr="000D6EF4">
        <w:rPr>
          <w:rFonts w:ascii="Times New Roman" w:hAnsi="Times New Roman" w:cs="Times New Roman"/>
          <w:b/>
          <w:bCs/>
          <w:color w:val="auto"/>
          <w:sz w:val="24"/>
          <w:szCs w:val="24"/>
        </w:rPr>
        <w:t>Uvod</w:t>
      </w:r>
      <w:bookmarkEnd w:id="0"/>
    </w:p>
    <w:p w14:paraId="26827E7F" w14:textId="77777777" w:rsidR="00B70088" w:rsidRPr="00CA357C" w:rsidRDefault="00B70088" w:rsidP="00B70088">
      <w:pPr>
        <w:rPr>
          <w:rFonts w:cs="Arial"/>
          <w:color w:val="000000" w:themeColor="text1"/>
        </w:rPr>
      </w:pPr>
    </w:p>
    <w:p w14:paraId="773B9192" w14:textId="42500FE8" w:rsidR="006417D3" w:rsidRPr="000D6EF4" w:rsidRDefault="00B70088" w:rsidP="008C676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</w:rPr>
      </w:pPr>
      <w:r w:rsidRPr="00CA357C">
        <w:rPr>
          <w:rFonts w:cs="Arial"/>
          <w:color w:val="000000" w:themeColor="text1"/>
        </w:rPr>
        <w:tab/>
      </w:r>
      <w:r w:rsidR="002E016C" w:rsidRPr="000D6EF4">
        <w:rPr>
          <w:rFonts w:ascii="Times New Roman" w:hAnsi="Times New Roman"/>
        </w:rPr>
        <w:t xml:space="preserve">Državni ured za reviziju </w:t>
      </w:r>
      <w:r w:rsidR="001532AD" w:rsidRPr="000D6EF4">
        <w:rPr>
          <w:rFonts w:ascii="Times New Roman" w:hAnsi="Times New Roman"/>
        </w:rPr>
        <w:t xml:space="preserve">sastavio </w:t>
      </w:r>
      <w:r w:rsidR="002E016C" w:rsidRPr="000D6EF4">
        <w:rPr>
          <w:rFonts w:ascii="Times New Roman" w:hAnsi="Times New Roman"/>
        </w:rPr>
        <w:t xml:space="preserve">je </w:t>
      </w:r>
      <w:r w:rsidR="001532AD" w:rsidRPr="000D6EF4">
        <w:rPr>
          <w:rFonts w:ascii="Times New Roman" w:hAnsi="Times New Roman"/>
        </w:rPr>
        <w:t xml:space="preserve">Polugodišnji izvještaj o izvršenju financijskog plana za 2023. u skladu s odredbama </w:t>
      </w:r>
      <w:r w:rsidR="00C717C0" w:rsidRPr="000D6EF4">
        <w:rPr>
          <w:rFonts w:ascii="Times New Roman" w:hAnsi="Times New Roman"/>
        </w:rPr>
        <w:t>Pravilnika o polugodišnjem i godišnjem izvještaju o izvršenju proračuna i financijskog plana</w:t>
      </w:r>
      <w:r w:rsidR="00A348EF" w:rsidRPr="000D6EF4">
        <w:rPr>
          <w:rFonts w:ascii="Times New Roman" w:hAnsi="Times New Roman"/>
        </w:rPr>
        <w:t xml:space="preserve"> te ga je obvezan dostaviti Ministarstvu financija do </w:t>
      </w:r>
      <w:r w:rsidR="00C717C0" w:rsidRPr="000D6EF4">
        <w:rPr>
          <w:rFonts w:ascii="Times New Roman" w:hAnsi="Times New Roman"/>
        </w:rPr>
        <w:t xml:space="preserve">5. rujna </w:t>
      </w:r>
      <w:r w:rsidR="00A348EF" w:rsidRPr="000D6EF4">
        <w:rPr>
          <w:rFonts w:ascii="Times New Roman" w:hAnsi="Times New Roman"/>
        </w:rPr>
        <w:t xml:space="preserve">2023. </w:t>
      </w:r>
      <w:r w:rsidR="001532AD" w:rsidRPr="000D6EF4">
        <w:rPr>
          <w:rFonts w:ascii="Times New Roman" w:hAnsi="Times New Roman"/>
        </w:rPr>
        <w:t>Prema</w:t>
      </w:r>
      <w:r w:rsidR="00162993" w:rsidRPr="000D6EF4">
        <w:rPr>
          <w:rFonts w:ascii="Times New Roman" w:hAnsi="Times New Roman"/>
        </w:rPr>
        <w:t xml:space="preserve"> odredbi</w:t>
      </w:r>
      <w:r w:rsidR="000605F3" w:rsidRPr="000D6EF4">
        <w:rPr>
          <w:rFonts w:ascii="Times New Roman" w:hAnsi="Times New Roman"/>
        </w:rPr>
        <w:t xml:space="preserve"> članka </w:t>
      </w:r>
      <w:r w:rsidR="00C717C0" w:rsidRPr="000D6EF4">
        <w:rPr>
          <w:rFonts w:ascii="Times New Roman" w:hAnsi="Times New Roman"/>
        </w:rPr>
        <w:t>30</w:t>
      </w:r>
      <w:r w:rsidRPr="000D6EF4">
        <w:rPr>
          <w:rFonts w:ascii="Times New Roman" w:hAnsi="Times New Roman"/>
        </w:rPr>
        <w:t>.</w:t>
      </w:r>
      <w:r w:rsidR="00C717C0" w:rsidRPr="000D6EF4">
        <w:rPr>
          <w:rFonts w:ascii="Times New Roman" w:hAnsi="Times New Roman"/>
        </w:rPr>
        <w:t xml:space="preserve"> Pravilnika o polugodišnjem i godišnjem izvještaju o izvršenju proračuna i financijskog plana</w:t>
      </w:r>
      <w:r w:rsidRPr="000D6EF4">
        <w:rPr>
          <w:rFonts w:ascii="Times New Roman" w:hAnsi="Times New Roman"/>
        </w:rPr>
        <w:t xml:space="preserve"> </w:t>
      </w:r>
      <w:r w:rsidR="00F51DDC" w:rsidRPr="000D6EF4">
        <w:rPr>
          <w:rFonts w:ascii="Times New Roman" w:hAnsi="Times New Roman"/>
        </w:rPr>
        <w:t xml:space="preserve">(Narodne novine </w:t>
      </w:r>
      <w:r w:rsidR="00C717C0" w:rsidRPr="000D6EF4">
        <w:rPr>
          <w:rFonts w:ascii="Times New Roman" w:hAnsi="Times New Roman"/>
        </w:rPr>
        <w:t>85/23</w:t>
      </w:r>
      <w:r w:rsidR="002E016C" w:rsidRPr="000D6EF4">
        <w:rPr>
          <w:rFonts w:ascii="Times New Roman" w:hAnsi="Times New Roman"/>
        </w:rPr>
        <w:t>)</w:t>
      </w:r>
      <w:r w:rsidR="000605F3" w:rsidRPr="000D6EF4">
        <w:rPr>
          <w:rFonts w:ascii="Times New Roman" w:hAnsi="Times New Roman"/>
        </w:rPr>
        <w:t xml:space="preserve"> polugodišnj</w:t>
      </w:r>
      <w:r w:rsidR="001532AD" w:rsidRPr="000D6EF4">
        <w:rPr>
          <w:rFonts w:ascii="Times New Roman" w:hAnsi="Times New Roman"/>
        </w:rPr>
        <w:t xml:space="preserve">i </w:t>
      </w:r>
      <w:r w:rsidR="000605F3" w:rsidRPr="000D6EF4">
        <w:rPr>
          <w:rFonts w:ascii="Times New Roman" w:hAnsi="Times New Roman"/>
        </w:rPr>
        <w:t>izvještaj o izvršenju financijskog plana proračunskih i izvanproračunskih korisnika sadrži</w:t>
      </w:r>
      <w:r w:rsidRPr="000D6EF4">
        <w:rPr>
          <w:rFonts w:ascii="Times New Roman" w:hAnsi="Times New Roman"/>
        </w:rPr>
        <w:t xml:space="preserve"> </w:t>
      </w:r>
      <w:r w:rsidR="00C717C0" w:rsidRPr="000D6EF4">
        <w:rPr>
          <w:rFonts w:ascii="Times New Roman" w:hAnsi="Times New Roman"/>
        </w:rPr>
        <w:t xml:space="preserve">opći dio, </w:t>
      </w:r>
      <w:r w:rsidR="000605F3" w:rsidRPr="000D6EF4">
        <w:rPr>
          <w:rFonts w:ascii="Times New Roman" w:hAnsi="Times New Roman"/>
        </w:rPr>
        <w:t xml:space="preserve"> posebni dio,</w:t>
      </w:r>
      <w:r w:rsidR="00450965" w:rsidRPr="000D6EF4">
        <w:rPr>
          <w:rFonts w:ascii="Times New Roman" w:hAnsi="Times New Roman"/>
        </w:rPr>
        <w:t xml:space="preserve"> obrazloženje</w:t>
      </w:r>
      <w:r w:rsidR="002041A1" w:rsidRPr="000D6EF4">
        <w:rPr>
          <w:rFonts w:ascii="Times New Roman" w:hAnsi="Times New Roman"/>
        </w:rPr>
        <w:t xml:space="preserve"> i posebn</w:t>
      </w:r>
      <w:r w:rsidR="00C717C0" w:rsidRPr="000D6EF4">
        <w:rPr>
          <w:rFonts w:ascii="Times New Roman" w:hAnsi="Times New Roman"/>
        </w:rPr>
        <w:t>e</w:t>
      </w:r>
      <w:r w:rsidR="002041A1" w:rsidRPr="000D6EF4">
        <w:rPr>
          <w:rFonts w:ascii="Times New Roman" w:hAnsi="Times New Roman"/>
        </w:rPr>
        <w:t xml:space="preserve"> izvještaj</w:t>
      </w:r>
      <w:r w:rsidR="00C717C0" w:rsidRPr="000D6EF4">
        <w:rPr>
          <w:rFonts w:ascii="Times New Roman" w:hAnsi="Times New Roman"/>
        </w:rPr>
        <w:t>e</w:t>
      </w:r>
      <w:r w:rsidR="0086357B" w:rsidRPr="000D6EF4">
        <w:rPr>
          <w:rFonts w:ascii="Times New Roman" w:hAnsi="Times New Roman"/>
        </w:rPr>
        <w:t xml:space="preserve"> financijskog plana.</w:t>
      </w:r>
      <w:r w:rsidR="000C20B1" w:rsidRPr="000D6EF4">
        <w:rPr>
          <w:rFonts w:ascii="Times New Roman" w:hAnsi="Times New Roman"/>
        </w:rPr>
        <w:t xml:space="preserve"> </w:t>
      </w:r>
    </w:p>
    <w:p w14:paraId="0D030B8B" w14:textId="77777777" w:rsidR="00E91659" w:rsidRPr="000D6EF4" w:rsidRDefault="00E91659" w:rsidP="008C676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5004F23E" w14:textId="4D5EC23F" w:rsidR="00842324" w:rsidRPr="000D6EF4" w:rsidRDefault="00134851" w:rsidP="002F24FC">
      <w:pPr>
        <w:pStyle w:val="Naslov1"/>
        <w:numPr>
          <w:ilvl w:val="0"/>
          <w:numId w:val="23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44715227"/>
      <w:r w:rsidRPr="000D6EF4">
        <w:rPr>
          <w:rFonts w:ascii="Times New Roman" w:hAnsi="Times New Roman" w:cs="Times New Roman"/>
          <w:b/>
          <w:color w:val="auto"/>
          <w:sz w:val="24"/>
          <w:szCs w:val="24"/>
        </w:rPr>
        <w:t>Izvještaj o izvršenju polugodišnjeg plana</w:t>
      </w:r>
      <w:bookmarkEnd w:id="1"/>
    </w:p>
    <w:p w14:paraId="6E32D219" w14:textId="516B2CBA" w:rsidR="00134851" w:rsidRPr="000D6EF4" w:rsidRDefault="00134851" w:rsidP="00134851">
      <w:pPr>
        <w:rPr>
          <w:rFonts w:ascii="Times New Roman" w:hAnsi="Times New Roman"/>
        </w:rPr>
      </w:pPr>
    </w:p>
    <w:p w14:paraId="179FCC6A" w14:textId="6ADCEDB3" w:rsidR="00134851" w:rsidRPr="000D6EF4" w:rsidRDefault="00134851" w:rsidP="00134851">
      <w:pPr>
        <w:ind w:firstLine="360"/>
        <w:rPr>
          <w:rFonts w:ascii="Times New Roman" w:hAnsi="Times New Roman"/>
        </w:rPr>
      </w:pPr>
      <w:r w:rsidRPr="000D6EF4">
        <w:rPr>
          <w:rFonts w:ascii="Times New Roman" w:hAnsi="Times New Roman"/>
        </w:rPr>
        <w:t>Prema</w:t>
      </w:r>
      <w:r w:rsidR="00C717C0" w:rsidRPr="000D6EF4">
        <w:rPr>
          <w:rFonts w:ascii="Times New Roman" w:hAnsi="Times New Roman"/>
        </w:rPr>
        <w:t xml:space="preserve"> Pravilniku o polugodišnjem i godišnjem izvještaju o izvršenju proračuna i financijskog plana</w:t>
      </w:r>
      <w:r w:rsidR="001532AD" w:rsidRPr="000D6EF4">
        <w:rPr>
          <w:rFonts w:ascii="Times New Roman" w:hAnsi="Times New Roman"/>
        </w:rPr>
        <w:t xml:space="preserve">, </w:t>
      </w:r>
      <w:r w:rsidR="00361221" w:rsidRPr="000D6EF4">
        <w:rPr>
          <w:rFonts w:ascii="Times New Roman" w:hAnsi="Times New Roman"/>
        </w:rPr>
        <w:t>I</w:t>
      </w:r>
      <w:r w:rsidRPr="000D6EF4">
        <w:rPr>
          <w:rFonts w:ascii="Times New Roman" w:hAnsi="Times New Roman"/>
        </w:rPr>
        <w:t xml:space="preserve">zvještaj o izvršenju </w:t>
      </w:r>
      <w:r w:rsidR="00E1584F" w:rsidRPr="000D6EF4">
        <w:rPr>
          <w:rFonts w:ascii="Times New Roman" w:hAnsi="Times New Roman"/>
        </w:rPr>
        <w:t xml:space="preserve">polugodišnjeg plana </w:t>
      </w:r>
      <w:r w:rsidRPr="000D6EF4">
        <w:rPr>
          <w:rFonts w:ascii="Times New Roman" w:hAnsi="Times New Roman"/>
        </w:rPr>
        <w:t>se sastoji od:</w:t>
      </w:r>
    </w:p>
    <w:p w14:paraId="0E2D3E86" w14:textId="3FD0191C" w:rsidR="00134851" w:rsidRPr="000D6EF4" w:rsidRDefault="00134851" w:rsidP="00134851">
      <w:pPr>
        <w:rPr>
          <w:rFonts w:ascii="Times New Roman" w:hAnsi="Times New Roman"/>
        </w:rPr>
      </w:pPr>
    </w:p>
    <w:p w14:paraId="2D601C38" w14:textId="6D42D27C" w:rsidR="00134851" w:rsidRPr="000D6EF4" w:rsidRDefault="00134851" w:rsidP="00134851">
      <w:pPr>
        <w:pStyle w:val="Odlomakpopisa"/>
        <w:numPr>
          <w:ilvl w:val="0"/>
          <w:numId w:val="28"/>
        </w:numPr>
        <w:rPr>
          <w:rFonts w:ascii="Times New Roman" w:hAnsi="Times New Roman"/>
        </w:rPr>
      </w:pPr>
      <w:r w:rsidRPr="000D6EF4">
        <w:rPr>
          <w:rFonts w:ascii="Times New Roman" w:hAnsi="Times New Roman"/>
        </w:rPr>
        <w:t>Općeg dijela polugodišnjeg izvještaja o izvršenju financijskog plana</w:t>
      </w:r>
    </w:p>
    <w:p w14:paraId="3791CB2B" w14:textId="71F7AAAC" w:rsidR="00134851" w:rsidRPr="000D6EF4" w:rsidRDefault="00134851" w:rsidP="00134851">
      <w:pPr>
        <w:pStyle w:val="Odlomakpopisa"/>
        <w:numPr>
          <w:ilvl w:val="0"/>
          <w:numId w:val="28"/>
        </w:numPr>
        <w:rPr>
          <w:rFonts w:ascii="Times New Roman" w:hAnsi="Times New Roman"/>
        </w:rPr>
      </w:pPr>
      <w:r w:rsidRPr="000D6EF4">
        <w:rPr>
          <w:rFonts w:ascii="Times New Roman" w:hAnsi="Times New Roman"/>
        </w:rPr>
        <w:t>Posebnog dijela polugodišnjeg izvještaja o izvršenju financijskog plana</w:t>
      </w:r>
    </w:p>
    <w:p w14:paraId="455B779A" w14:textId="2BF50254" w:rsidR="00134851" w:rsidRPr="000D6EF4" w:rsidRDefault="00134851" w:rsidP="00134851">
      <w:pPr>
        <w:pStyle w:val="Odlomakpopisa"/>
        <w:numPr>
          <w:ilvl w:val="0"/>
          <w:numId w:val="28"/>
        </w:numPr>
        <w:rPr>
          <w:rFonts w:ascii="Times New Roman" w:hAnsi="Times New Roman"/>
        </w:rPr>
      </w:pPr>
      <w:r w:rsidRPr="000D6EF4">
        <w:rPr>
          <w:rFonts w:ascii="Times New Roman" w:hAnsi="Times New Roman"/>
        </w:rPr>
        <w:t>Obrazloženja polugodišnjeg izvještaja o izvršenju financijskog plana</w:t>
      </w:r>
    </w:p>
    <w:p w14:paraId="70014A4F" w14:textId="0227631D" w:rsidR="00134851" w:rsidRPr="000D6EF4" w:rsidRDefault="00134851" w:rsidP="00134851">
      <w:pPr>
        <w:pStyle w:val="Odlomakpopisa"/>
        <w:numPr>
          <w:ilvl w:val="0"/>
          <w:numId w:val="28"/>
        </w:numPr>
        <w:rPr>
          <w:rFonts w:ascii="Times New Roman" w:hAnsi="Times New Roman"/>
        </w:rPr>
      </w:pPr>
      <w:r w:rsidRPr="000D6EF4">
        <w:rPr>
          <w:rFonts w:ascii="Times New Roman" w:hAnsi="Times New Roman"/>
        </w:rPr>
        <w:t>Posebnih izvještaja u polugodišnjem izvještaju o izvršenju financijskog plana</w:t>
      </w:r>
      <w:r w:rsidR="002E016C" w:rsidRPr="000D6EF4">
        <w:rPr>
          <w:rFonts w:ascii="Times New Roman" w:hAnsi="Times New Roman"/>
        </w:rPr>
        <w:t>.</w:t>
      </w:r>
    </w:p>
    <w:p w14:paraId="6CE7B4A8" w14:textId="414A7365" w:rsidR="00134851" w:rsidRPr="000D6EF4" w:rsidRDefault="00134851" w:rsidP="00134851">
      <w:pPr>
        <w:rPr>
          <w:rFonts w:ascii="Times New Roman" w:hAnsi="Times New Roman"/>
        </w:rPr>
      </w:pPr>
    </w:p>
    <w:p w14:paraId="6039CDCB" w14:textId="2202F4E7" w:rsidR="00134851" w:rsidRPr="000D6EF4" w:rsidRDefault="00134851" w:rsidP="00134851">
      <w:pPr>
        <w:rPr>
          <w:rFonts w:ascii="Times New Roman" w:hAnsi="Times New Roman"/>
        </w:rPr>
      </w:pPr>
    </w:p>
    <w:p w14:paraId="667A1204" w14:textId="1CC20657" w:rsidR="00134851" w:rsidRPr="000D6EF4" w:rsidRDefault="00082DA5" w:rsidP="00082DA5">
      <w:pPr>
        <w:pStyle w:val="Naslov2"/>
        <w:numPr>
          <w:ilvl w:val="1"/>
          <w:numId w:val="23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bookmarkStart w:id="2" w:name="_Toc144715228"/>
      <w:r w:rsidR="00134851" w:rsidRPr="000D6EF4">
        <w:rPr>
          <w:rFonts w:ascii="Times New Roman" w:hAnsi="Times New Roman" w:cs="Times New Roman"/>
          <w:b/>
          <w:color w:val="auto"/>
          <w:sz w:val="24"/>
          <w:szCs w:val="24"/>
        </w:rPr>
        <w:t>Opći dio izvještaja o izvršenju polugodišnjeg financijskog plana</w:t>
      </w:r>
      <w:bookmarkEnd w:id="2"/>
    </w:p>
    <w:p w14:paraId="64508456" w14:textId="6DD28097" w:rsidR="0083314F" w:rsidRPr="000D6EF4" w:rsidRDefault="0083314F" w:rsidP="0083314F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356D1F1C" w14:textId="18DA2925" w:rsidR="00134851" w:rsidRPr="000D6EF4" w:rsidRDefault="0083314F" w:rsidP="0083314F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ab/>
        <w:t xml:space="preserve">Opći dio </w:t>
      </w:r>
      <w:r w:rsidR="00407C13" w:rsidRPr="000D6EF4">
        <w:rPr>
          <w:rFonts w:ascii="Times New Roman" w:hAnsi="Times New Roman"/>
          <w:color w:val="000000" w:themeColor="text1"/>
        </w:rPr>
        <w:t>izvještaja</w:t>
      </w:r>
      <w:r w:rsidR="00557999" w:rsidRPr="000D6EF4">
        <w:rPr>
          <w:rFonts w:ascii="Times New Roman" w:hAnsi="Times New Roman"/>
          <w:color w:val="000000" w:themeColor="text1"/>
        </w:rPr>
        <w:t xml:space="preserve"> o</w:t>
      </w:r>
      <w:r w:rsidR="002041A1" w:rsidRPr="000D6EF4">
        <w:rPr>
          <w:rFonts w:ascii="Times New Roman" w:hAnsi="Times New Roman"/>
          <w:color w:val="000000" w:themeColor="text1"/>
        </w:rPr>
        <w:t xml:space="preserve"> izvršenju </w:t>
      </w:r>
      <w:r w:rsidR="00134851" w:rsidRPr="000D6EF4">
        <w:rPr>
          <w:rFonts w:ascii="Times New Roman" w:hAnsi="Times New Roman"/>
          <w:color w:val="000000" w:themeColor="text1"/>
        </w:rPr>
        <w:t xml:space="preserve">polugodišnjeg </w:t>
      </w:r>
      <w:r w:rsidRPr="000D6EF4">
        <w:rPr>
          <w:rFonts w:ascii="Times New Roman" w:hAnsi="Times New Roman"/>
          <w:color w:val="000000" w:themeColor="text1"/>
        </w:rPr>
        <w:t>financijskog plana</w:t>
      </w:r>
      <w:r w:rsidR="00134851" w:rsidRPr="000D6EF4">
        <w:rPr>
          <w:rFonts w:ascii="Times New Roman" w:hAnsi="Times New Roman"/>
          <w:color w:val="000000" w:themeColor="text1"/>
        </w:rPr>
        <w:t xml:space="preserve"> se</w:t>
      </w:r>
      <w:r w:rsidRPr="000D6EF4">
        <w:rPr>
          <w:rFonts w:ascii="Times New Roman" w:hAnsi="Times New Roman"/>
          <w:color w:val="000000" w:themeColor="text1"/>
        </w:rPr>
        <w:t xml:space="preserve"> sastoji </w:t>
      </w:r>
      <w:r w:rsidR="00134851" w:rsidRPr="000D6EF4">
        <w:rPr>
          <w:rFonts w:ascii="Times New Roman" w:hAnsi="Times New Roman"/>
          <w:color w:val="000000" w:themeColor="text1"/>
        </w:rPr>
        <w:t>od:</w:t>
      </w:r>
    </w:p>
    <w:p w14:paraId="59F8B9A2" w14:textId="77777777" w:rsidR="00134851" w:rsidRPr="000D6EF4" w:rsidRDefault="00134851" w:rsidP="0083314F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3B82ECF5" w14:textId="7A3D885C" w:rsidR="00134851" w:rsidRPr="000D6EF4" w:rsidRDefault="0083314F" w:rsidP="00134851">
      <w:pPr>
        <w:pStyle w:val="Odlomakpopisa"/>
        <w:widowControl/>
        <w:numPr>
          <w:ilvl w:val="0"/>
          <w:numId w:val="28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 xml:space="preserve">Sažetka </w:t>
      </w:r>
      <w:r w:rsidR="00C717C0" w:rsidRPr="000D6EF4">
        <w:rPr>
          <w:rFonts w:ascii="Times New Roman" w:hAnsi="Times New Roman"/>
          <w:color w:val="000000" w:themeColor="text1"/>
        </w:rPr>
        <w:t>R</w:t>
      </w:r>
      <w:r w:rsidRPr="000D6EF4">
        <w:rPr>
          <w:rFonts w:ascii="Times New Roman" w:hAnsi="Times New Roman"/>
          <w:color w:val="000000" w:themeColor="text1"/>
        </w:rPr>
        <w:t>ačuna prihoda i rashoda i</w:t>
      </w:r>
      <w:r w:rsidR="00134851" w:rsidRPr="000D6EF4">
        <w:rPr>
          <w:rFonts w:ascii="Times New Roman" w:hAnsi="Times New Roman"/>
          <w:color w:val="000000" w:themeColor="text1"/>
        </w:rPr>
        <w:t xml:space="preserve"> Računa financiranja </w:t>
      </w:r>
    </w:p>
    <w:p w14:paraId="54A77049" w14:textId="77777777" w:rsidR="00D77F03" w:rsidRPr="000D6EF4" w:rsidRDefault="002041A1" w:rsidP="00134851">
      <w:pPr>
        <w:pStyle w:val="Odlomakpopisa"/>
        <w:widowControl/>
        <w:numPr>
          <w:ilvl w:val="0"/>
          <w:numId w:val="28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 xml:space="preserve">Računa prihoda i rashoda </w:t>
      </w:r>
    </w:p>
    <w:p w14:paraId="6559E942" w14:textId="39362FF8" w:rsidR="0029279C" w:rsidRPr="000D6EF4" w:rsidRDefault="00D509FD" w:rsidP="00D77F03">
      <w:pPr>
        <w:pStyle w:val="Odlomakpopisa"/>
        <w:widowControl/>
        <w:numPr>
          <w:ilvl w:val="0"/>
          <w:numId w:val="28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>R</w:t>
      </w:r>
      <w:r w:rsidR="002041A1" w:rsidRPr="000D6EF4">
        <w:rPr>
          <w:rFonts w:ascii="Times New Roman" w:hAnsi="Times New Roman"/>
          <w:color w:val="000000" w:themeColor="text1"/>
        </w:rPr>
        <w:t xml:space="preserve">ačuna financiranja </w:t>
      </w:r>
    </w:p>
    <w:p w14:paraId="041D84AE" w14:textId="77777777" w:rsidR="00E04F5A" w:rsidRPr="000D6EF4" w:rsidRDefault="00E04F5A" w:rsidP="00E04F5A">
      <w:pPr>
        <w:pStyle w:val="Odlomakpopisa"/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0265E4DD" w14:textId="64352CB4" w:rsidR="0029279C" w:rsidRPr="000D6EF4" w:rsidRDefault="00D77F03" w:rsidP="0029279C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ab/>
        <w:t>Račun prihoda i rashoda i R</w:t>
      </w:r>
      <w:r w:rsidR="0029279C" w:rsidRPr="000D6EF4">
        <w:rPr>
          <w:rFonts w:ascii="Times New Roman" w:hAnsi="Times New Roman"/>
          <w:color w:val="000000" w:themeColor="text1"/>
        </w:rPr>
        <w:t>ačun financiranja</w:t>
      </w:r>
      <w:r w:rsidR="002041A1" w:rsidRPr="000D6EF4">
        <w:rPr>
          <w:rFonts w:ascii="Times New Roman" w:hAnsi="Times New Roman"/>
          <w:color w:val="000000" w:themeColor="text1"/>
        </w:rPr>
        <w:t xml:space="preserve"> se sastoji od prihoda i rashoda iskazanih prema </w:t>
      </w:r>
      <w:r w:rsidRPr="000D6EF4">
        <w:rPr>
          <w:rFonts w:ascii="Times New Roman" w:hAnsi="Times New Roman"/>
          <w:color w:val="000000" w:themeColor="text1"/>
        </w:rPr>
        <w:t xml:space="preserve">ekonomskoj klasifikaciji i </w:t>
      </w:r>
      <w:r w:rsidR="002041A1" w:rsidRPr="000D6EF4">
        <w:rPr>
          <w:rFonts w:ascii="Times New Roman" w:hAnsi="Times New Roman"/>
          <w:color w:val="000000" w:themeColor="text1"/>
        </w:rPr>
        <w:t>izvorima financir</w:t>
      </w:r>
      <w:r w:rsidR="002E016C" w:rsidRPr="000D6EF4">
        <w:rPr>
          <w:rFonts w:ascii="Times New Roman" w:hAnsi="Times New Roman"/>
          <w:color w:val="000000" w:themeColor="text1"/>
        </w:rPr>
        <w:t xml:space="preserve">anja </w:t>
      </w:r>
      <w:r w:rsidRPr="000D6EF4">
        <w:rPr>
          <w:rFonts w:ascii="Times New Roman" w:hAnsi="Times New Roman"/>
          <w:color w:val="000000" w:themeColor="text1"/>
        </w:rPr>
        <w:t>te</w:t>
      </w:r>
      <w:r w:rsidR="002041A1" w:rsidRPr="000D6EF4">
        <w:rPr>
          <w:rFonts w:ascii="Times New Roman" w:hAnsi="Times New Roman"/>
          <w:color w:val="000000" w:themeColor="text1"/>
        </w:rPr>
        <w:t xml:space="preserve"> rashoda iskazanih prema funkcijskoj klasifikaciji. </w:t>
      </w:r>
    </w:p>
    <w:p w14:paraId="3F9C1C90" w14:textId="12DE802F" w:rsidR="0083314F" w:rsidRPr="000D6EF4" w:rsidRDefault="0029279C" w:rsidP="0029279C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ab/>
      </w:r>
      <w:r w:rsidR="002041A1" w:rsidRPr="000D6EF4">
        <w:rPr>
          <w:rFonts w:ascii="Times New Roman" w:hAnsi="Times New Roman"/>
          <w:color w:val="000000" w:themeColor="text1"/>
        </w:rPr>
        <w:t>U Račun</w:t>
      </w:r>
      <w:r w:rsidR="0030554E" w:rsidRPr="000D6EF4">
        <w:rPr>
          <w:rFonts w:ascii="Times New Roman" w:hAnsi="Times New Roman"/>
          <w:color w:val="000000" w:themeColor="text1"/>
        </w:rPr>
        <w:t>u</w:t>
      </w:r>
      <w:r w:rsidR="002041A1" w:rsidRPr="000D6EF4">
        <w:rPr>
          <w:rFonts w:ascii="Times New Roman" w:hAnsi="Times New Roman"/>
          <w:color w:val="000000" w:themeColor="text1"/>
        </w:rPr>
        <w:t xml:space="preserve"> financiranja iskazuju se primici od fina</w:t>
      </w:r>
      <w:r w:rsidR="00630345" w:rsidRPr="000D6EF4">
        <w:rPr>
          <w:rFonts w:ascii="Times New Roman" w:hAnsi="Times New Roman"/>
          <w:color w:val="000000" w:themeColor="text1"/>
        </w:rPr>
        <w:t xml:space="preserve">ncijske imovine i zaduživanja, </w:t>
      </w:r>
      <w:r w:rsidR="002041A1" w:rsidRPr="000D6EF4">
        <w:rPr>
          <w:rFonts w:ascii="Times New Roman" w:hAnsi="Times New Roman"/>
          <w:color w:val="000000" w:themeColor="text1"/>
        </w:rPr>
        <w:t>izdaci za financijsku imovinu i otplate instrumenata zaduživanja prema izvorima financir</w:t>
      </w:r>
      <w:r w:rsidR="00630345" w:rsidRPr="000D6EF4">
        <w:rPr>
          <w:rFonts w:ascii="Times New Roman" w:hAnsi="Times New Roman"/>
          <w:color w:val="000000" w:themeColor="text1"/>
        </w:rPr>
        <w:t>an</w:t>
      </w:r>
      <w:r w:rsidR="00E04F5A" w:rsidRPr="000D6EF4">
        <w:rPr>
          <w:rFonts w:ascii="Times New Roman" w:hAnsi="Times New Roman"/>
          <w:color w:val="000000" w:themeColor="text1"/>
        </w:rPr>
        <w:t>ja i ekonomskoj klasifikaciji</w:t>
      </w:r>
      <w:r w:rsidR="00630345" w:rsidRPr="000D6EF4">
        <w:rPr>
          <w:rFonts w:ascii="Times New Roman" w:hAnsi="Times New Roman"/>
          <w:color w:val="000000" w:themeColor="text1"/>
        </w:rPr>
        <w:t>.</w:t>
      </w:r>
    </w:p>
    <w:p w14:paraId="41677ACA" w14:textId="4A541C50" w:rsidR="006C3A55" w:rsidRPr="000D6EF4" w:rsidRDefault="006C3A55" w:rsidP="0029279C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FF0000"/>
        </w:rPr>
      </w:pPr>
    </w:p>
    <w:p w14:paraId="2A75BF6D" w14:textId="5F25CC48" w:rsidR="003E687E" w:rsidRPr="000D6EF4" w:rsidRDefault="001532AD" w:rsidP="000E5A44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FF0000"/>
        </w:rPr>
        <w:tab/>
      </w:r>
      <w:r w:rsidRPr="000D6EF4">
        <w:rPr>
          <w:rFonts w:ascii="Times New Roman" w:hAnsi="Times New Roman"/>
        </w:rPr>
        <w:t xml:space="preserve">U tablicama u nastavku dani su podaci koji se odnose na </w:t>
      </w:r>
      <w:r w:rsidR="00113180" w:rsidRPr="000D6EF4">
        <w:rPr>
          <w:rFonts w:ascii="Times New Roman" w:hAnsi="Times New Roman"/>
        </w:rPr>
        <w:t>opći dio, Sažetak</w:t>
      </w:r>
      <w:r w:rsidR="000E5A44" w:rsidRPr="000D6EF4">
        <w:rPr>
          <w:rFonts w:ascii="Times New Roman" w:hAnsi="Times New Roman"/>
        </w:rPr>
        <w:t xml:space="preserve"> Rač</w:t>
      </w:r>
      <w:r w:rsidR="00113180" w:rsidRPr="000D6EF4">
        <w:rPr>
          <w:rFonts w:ascii="Times New Roman" w:hAnsi="Times New Roman"/>
        </w:rPr>
        <w:t>un</w:t>
      </w:r>
      <w:r w:rsidR="006A79F1" w:rsidRPr="000D6EF4">
        <w:rPr>
          <w:rFonts w:ascii="Times New Roman" w:hAnsi="Times New Roman"/>
        </w:rPr>
        <w:t>a</w:t>
      </w:r>
      <w:r w:rsidR="00113180" w:rsidRPr="000D6EF4">
        <w:rPr>
          <w:rFonts w:ascii="Times New Roman" w:hAnsi="Times New Roman"/>
        </w:rPr>
        <w:t xml:space="preserve"> prihoda i rashoda, Sažetak</w:t>
      </w:r>
      <w:r w:rsidR="000E5A44" w:rsidRPr="000D6EF4">
        <w:rPr>
          <w:rFonts w:ascii="Times New Roman" w:hAnsi="Times New Roman"/>
        </w:rPr>
        <w:t xml:space="preserve"> Račun</w:t>
      </w:r>
      <w:r w:rsidR="006A79F1" w:rsidRPr="000D6EF4">
        <w:rPr>
          <w:rFonts w:ascii="Times New Roman" w:hAnsi="Times New Roman"/>
        </w:rPr>
        <w:t>a</w:t>
      </w:r>
      <w:r w:rsidR="000E5A44" w:rsidRPr="000D6EF4">
        <w:rPr>
          <w:rFonts w:ascii="Times New Roman" w:hAnsi="Times New Roman"/>
        </w:rPr>
        <w:t xml:space="preserve"> financiranja, Izvještaj o prihodima i rashodima prema ekonomskoj klasifikaciji, </w:t>
      </w:r>
      <w:r w:rsidR="00B127E5" w:rsidRPr="000D6EF4">
        <w:rPr>
          <w:rFonts w:ascii="Times New Roman" w:hAnsi="Times New Roman"/>
        </w:rPr>
        <w:t>Izvještaj o prihodima i rashod</w:t>
      </w:r>
      <w:r w:rsidR="0030554E" w:rsidRPr="000D6EF4">
        <w:rPr>
          <w:rFonts w:ascii="Times New Roman" w:hAnsi="Times New Roman"/>
        </w:rPr>
        <w:t>ima prema izvorima financiranja</w:t>
      </w:r>
      <w:r w:rsidR="00B127E5" w:rsidRPr="000D6EF4">
        <w:rPr>
          <w:rFonts w:ascii="Times New Roman" w:hAnsi="Times New Roman"/>
        </w:rPr>
        <w:t xml:space="preserve"> te </w:t>
      </w:r>
      <w:r w:rsidR="00F4045B" w:rsidRPr="000D6EF4">
        <w:rPr>
          <w:rFonts w:ascii="Times New Roman" w:hAnsi="Times New Roman"/>
        </w:rPr>
        <w:t xml:space="preserve">Izvještaj o </w:t>
      </w:r>
      <w:r w:rsidR="000E5A44" w:rsidRPr="000D6EF4">
        <w:rPr>
          <w:rFonts w:ascii="Times New Roman" w:hAnsi="Times New Roman"/>
        </w:rPr>
        <w:t>rashodima prema funkcijskoj klasifikaciji.</w:t>
      </w:r>
      <w:r w:rsidR="003E687E" w:rsidRPr="000D6EF4">
        <w:rPr>
          <w:rFonts w:ascii="Times New Roman" w:hAnsi="Times New Roman"/>
          <w:color w:val="000000" w:themeColor="text1"/>
        </w:rPr>
        <w:br w:type="page"/>
      </w:r>
    </w:p>
    <w:p w14:paraId="2D091845" w14:textId="32D66422" w:rsidR="003E687E" w:rsidRDefault="003E687E" w:rsidP="003E687E">
      <w:pPr>
        <w:spacing w:line="276" w:lineRule="auto"/>
        <w:rPr>
          <w:rFonts w:cs="Arial"/>
          <w:color w:val="000000" w:themeColor="text1"/>
        </w:rPr>
      </w:pPr>
      <w:r w:rsidRPr="003E687E">
        <w:rPr>
          <w:rFonts w:cs="Arial"/>
          <w:color w:val="000000" w:themeColor="text1"/>
        </w:rPr>
        <w:t xml:space="preserve">Tablica 1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68"/>
        <w:gridCol w:w="1180"/>
        <w:gridCol w:w="1271"/>
        <w:gridCol w:w="1271"/>
        <w:gridCol w:w="1180"/>
        <w:gridCol w:w="1084"/>
        <w:gridCol w:w="1084"/>
      </w:tblGrid>
      <w:tr w:rsidR="0002154C" w:rsidRPr="0002154C" w14:paraId="0FF89C7B" w14:textId="77777777" w:rsidTr="0002154C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CDD0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I. OPĆI DIO</w:t>
            </w:r>
          </w:p>
        </w:tc>
      </w:tr>
      <w:tr w:rsidR="0002154C" w:rsidRPr="0002154C" w14:paraId="4BD48AE6" w14:textId="77777777" w:rsidTr="0002154C">
        <w:trPr>
          <w:trHeight w:val="240"/>
        </w:trPr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7D7F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55BA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8DFB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C54F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4529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1099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9385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6B093BE1" w14:textId="77777777" w:rsidTr="0002154C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1731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1.1. SAŽETAK RAČUNA PRIHODA I RASHODA I RAČUNA FINANCIRANJA</w:t>
            </w:r>
          </w:p>
        </w:tc>
      </w:tr>
      <w:tr w:rsidR="0002154C" w:rsidRPr="0002154C" w14:paraId="4977131E" w14:textId="77777777" w:rsidTr="0002154C">
        <w:trPr>
          <w:trHeight w:val="240"/>
        </w:trPr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B109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923D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0A98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553C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BACB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CF35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13AB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45D7A0AE" w14:textId="77777777" w:rsidTr="0002154C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5310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SAŽETAK RAČUNA PRIHODA I RASHODA</w:t>
            </w:r>
          </w:p>
        </w:tc>
      </w:tr>
      <w:tr w:rsidR="0002154C" w:rsidRPr="0002154C" w14:paraId="48A8FE84" w14:textId="77777777" w:rsidTr="0002154C">
        <w:trPr>
          <w:trHeight w:val="240"/>
        </w:trPr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C0ED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7A4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A529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FE97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C35F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E7C3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F90F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7D4EB7FC" w14:textId="77777777" w:rsidTr="0002154C">
        <w:trPr>
          <w:trHeight w:val="960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638DCE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E805B2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IZVRŠENJE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 xml:space="preserve">01.01-30.06.2022.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D36701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IZVORNI PLAN ILI REBALANS ZA 2023.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C77ED2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TEKUĆI                           PLAN ZA 2023.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FD23BE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IZVRŠENJE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01.01-30.06.2023. EUR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F51BAA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INDEKS 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D72846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02154C" w:rsidRPr="0002154C" w14:paraId="6C4A33B8" w14:textId="77777777" w:rsidTr="0002154C">
        <w:trPr>
          <w:trHeight w:val="240"/>
        </w:trPr>
        <w:tc>
          <w:tcPr>
            <w:tcW w:w="1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FF54AD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1043E89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183F2A0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A3BE5F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76F33BD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6C4C20B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 (4/1)*100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F8F01F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 (4/3)*100</w:t>
            </w:r>
          </w:p>
        </w:tc>
      </w:tr>
      <w:tr w:rsidR="0002154C" w:rsidRPr="0002154C" w14:paraId="731A9AAD" w14:textId="77777777" w:rsidTr="0002154C">
        <w:trPr>
          <w:trHeight w:val="300"/>
        </w:trPr>
        <w:tc>
          <w:tcPr>
            <w:tcW w:w="1474" w:type="pct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F0A6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6 PRIHODI POSLOVANJA</w:t>
            </w:r>
          </w:p>
        </w:tc>
        <w:tc>
          <w:tcPr>
            <w:tcW w:w="558" w:type="pct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572E4B3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€ 5.185.100,61</w:t>
            </w:r>
          </w:p>
        </w:tc>
        <w:tc>
          <w:tcPr>
            <w:tcW w:w="614" w:type="pct"/>
            <w:tcBorders>
              <w:top w:val="single" w:sz="4" w:space="0" w:color="95B3D7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0828F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€ 14.319.137,00</w:t>
            </w:r>
          </w:p>
        </w:tc>
        <w:tc>
          <w:tcPr>
            <w:tcW w:w="690" w:type="pct"/>
            <w:tcBorders>
              <w:top w:val="single" w:sz="4" w:space="0" w:color="95B3D7"/>
              <w:left w:val="single" w:sz="4" w:space="0" w:color="95B3D7"/>
              <w:bottom w:val="single" w:sz="4" w:space="0" w:color="auto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2218571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€ 14.319.137,00</w:t>
            </w:r>
          </w:p>
        </w:tc>
        <w:tc>
          <w:tcPr>
            <w:tcW w:w="558" w:type="pct"/>
            <w:tcBorders>
              <w:top w:val="single" w:sz="4" w:space="0" w:color="95B3D7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D29CA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5.530.286,71</w:t>
            </w:r>
          </w:p>
        </w:tc>
        <w:tc>
          <w:tcPr>
            <w:tcW w:w="491" w:type="pct"/>
            <w:tcBorders>
              <w:top w:val="single" w:sz="4" w:space="0" w:color="95B3D7"/>
              <w:left w:val="single" w:sz="4" w:space="0" w:color="95B3D7"/>
              <w:bottom w:val="single" w:sz="4" w:space="0" w:color="auto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1CD1419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106,70</w:t>
            </w:r>
          </w:p>
        </w:tc>
        <w:tc>
          <w:tcPr>
            <w:tcW w:w="614" w:type="pct"/>
            <w:tcBorders>
              <w:top w:val="single" w:sz="4" w:space="0" w:color="95B3D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D05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38,62</w:t>
            </w:r>
          </w:p>
        </w:tc>
      </w:tr>
      <w:tr w:rsidR="0002154C" w:rsidRPr="0002154C" w14:paraId="190EE275" w14:textId="77777777" w:rsidTr="0002154C">
        <w:trPr>
          <w:trHeight w:val="495"/>
        </w:trPr>
        <w:tc>
          <w:tcPr>
            <w:tcW w:w="1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CC43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7 PRIHODI OD PRODAJE NEFINACIJSKE IMOVINE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24F0B5C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€ 0,00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7A121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€ 0,00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95B3D7"/>
              <w:bottom w:val="single" w:sz="4" w:space="0" w:color="auto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0315002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€ 0,00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B3C56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95B3D7"/>
              <w:bottom w:val="single" w:sz="4" w:space="0" w:color="auto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26A946E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032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02154C" w:rsidRPr="0002154C" w14:paraId="4DADCEC3" w14:textId="77777777" w:rsidTr="0002154C">
        <w:trPr>
          <w:trHeight w:val="300"/>
        </w:trPr>
        <w:tc>
          <w:tcPr>
            <w:tcW w:w="1474" w:type="pct"/>
            <w:tcBorders>
              <w:top w:val="single" w:sz="4" w:space="0" w:color="366092"/>
              <w:left w:val="single" w:sz="4" w:space="0" w:color="auto"/>
              <w:bottom w:val="single" w:sz="8" w:space="0" w:color="366092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12515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sz w:val="18"/>
                <w:szCs w:val="18"/>
              </w:rPr>
              <w:t>PRIHODI UKUPNO</w:t>
            </w:r>
          </w:p>
        </w:tc>
        <w:tc>
          <w:tcPr>
            <w:tcW w:w="558" w:type="pct"/>
            <w:tcBorders>
              <w:top w:val="single" w:sz="4" w:space="0" w:color="366092"/>
              <w:left w:val="single" w:sz="4" w:space="0" w:color="auto"/>
              <w:bottom w:val="single" w:sz="8" w:space="0" w:color="366092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38C717E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5.185.100,61</w:t>
            </w:r>
          </w:p>
        </w:tc>
        <w:tc>
          <w:tcPr>
            <w:tcW w:w="614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000000" w:fill="DCE6F1"/>
            <w:vAlign w:val="bottom"/>
            <w:hideMark/>
          </w:tcPr>
          <w:p w14:paraId="48EBB8B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14.319.137,00</w:t>
            </w:r>
          </w:p>
        </w:tc>
        <w:tc>
          <w:tcPr>
            <w:tcW w:w="690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161A94E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14.319.137,00</w:t>
            </w:r>
          </w:p>
        </w:tc>
        <w:tc>
          <w:tcPr>
            <w:tcW w:w="558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000000" w:fill="DCE6F1"/>
            <w:vAlign w:val="bottom"/>
            <w:hideMark/>
          </w:tcPr>
          <w:p w14:paraId="14D054B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5.530.286,71</w:t>
            </w:r>
          </w:p>
        </w:tc>
        <w:tc>
          <w:tcPr>
            <w:tcW w:w="491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174FAE2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106,70</w:t>
            </w:r>
          </w:p>
        </w:tc>
        <w:tc>
          <w:tcPr>
            <w:tcW w:w="614" w:type="pct"/>
            <w:tcBorders>
              <w:top w:val="single" w:sz="4" w:space="0" w:color="366092"/>
              <w:left w:val="nil"/>
              <w:bottom w:val="single" w:sz="8" w:space="0" w:color="366092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6D9D42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38,62</w:t>
            </w:r>
          </w:p>
        </w:tc>
      </w:tr>
      <w:tr w:rsidR="0002154C" w:rsidRPr="0002154C" w14:paraId="0BEAD20A" w14:textId="77777777" w:rsidTr="0002154C">
        <w:trPr>
          <w:trHeight w:val="300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1F7D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 RASHODI  POSLOVANJA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CD2C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4.946.468,12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E416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10.580.265,00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FFFF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10.580.265,00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B374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4.975.157,14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4F14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100,60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8A04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47,02</w:t>
            </w:r>
          </w:p>
        </w:tc>
      </w:tr>
      <w:tr w:rsidR="0002154C" w:rsidRPr="0002154C" w14:paraId="7B98D375" w14:textId="77777777" w:rsidTr="0002154C">
        <w:trPr>
          <w:trHeight w:val="495"/>
        </w:trPr>
        <w:tc>
          <w:tcPr>
            <w:tcW w:w="1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88D4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 RASHODI ZA NABAVU NEFINANCIJSKE IMOVINE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150E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338.853,97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CC3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3.835.723,00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D390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3.835.723,00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4E2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457.413,77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359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135,00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718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11,93</w:t>
            </w:r>
          </w:p>
        </w:tc>
      </w:tr>
      <w:tr w:rsidR="0002154C" w:rsidRPr="0002154C" w14:paraId="36E8306A" w14:textId="77777777" w:rsidTr="0002154C">
        <w:trPr>
          <w:trHeight w:val="300"/>
        </w:trPr>
        <w:tc>
          <w:tcPr>
            <w:tcW w:w="1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F53A4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sz w:val="18"/>
                <w:szCs w:val="18"/>
              </w:rPr>
              <w:t>RASHODI UKUPNO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4AC9523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5.285.322,09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2862F59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773BEB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2E68B37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5.432.570,91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1BAE56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9FE96B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37,68</w:t>
            </w:r>
          </w:p>
        </w:tc>
      </w:tr>
      <w:tr w:rsidR="0002154C" w:rsidRPr="0002154C" w14:paraId="320DD67A" w14:textId="77777777" w:rsidTr="0002154C">
        <w:trPr>
          <w:trHeight w:val="240"/>
        </w:trPr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625C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32F6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AD6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10F7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C49E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B5FA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09F5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194E0688" w14:textId="77777777" w:rsidTr="0002154C">
        <w:trPr>
          <w:trHeight w:val="240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7E9C23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sz w:val="18"/>
                <w:szCs w:val="18"/>
              </w:rPr>
              <w:t>RAZLIKA - VIŠAK / MANJAK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3DCB8A4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-100.221,48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44855DC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-96.851,00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4B6C534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-96.851,00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15C44B9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97.715,80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26940C6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-97,50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18ABFE7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-100,89</w:t>
            </w:r>
          </w:p>
        </w:tc>
      </w:tr>
      <w:tr w:rsidR="0002154C" w:rsidRPr="0002154C" w14:paraId="2CA83BA4" w14:textId="77777777" w:rsidTr="0002154C">
        <w:trPr>
          <w:trHeight w:val="240"/>
        </w:trPr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D471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CA28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4143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7A55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FF3D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B7AF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A38F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4BA8E7A6" w14:textId="77777777" w:rsidTr="0002154C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4C93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SAŽETAK RAČUNA FINANCIRANJA</w:t>
            </w:r>
          </w:p>
        </w:tc>
      </w:tr>
      <w:tr w:rsidR="0002154C" w:rsidRPr="0002154C" w14:paraId="6C6A034A" w14:textId="77777777" w:rsidTr="0002154C">
        <w:trPr>
          <w:trHeight w:val="240"/>
        </w:trPr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7E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9EDC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3F09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1B00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A572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E5AD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0DF7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008B7EE7" w14:textId="77777777" w:rsidTr="0002154C">
        <w:trPr>
          <w:trHeight w:val="960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A0D220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4DF08A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IZVRŠENJE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 xml:space="preserve">01.01-30.06.2022.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B5B217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IZVORNI PLAN ILI REBALANS ZA 2023.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220B52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TEKUĆI                           PLAN ZA 2023.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BD2F6A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IZVRŠENJE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01.01-30.06.2023. EUR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74D622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INDEKS 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EBC155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02154C" w:rsidRPr="0002154C" w14:paraId="4CB3CDDC" w14:textId="77777777" w:rsidTr="0002154C">
        <w:trPr>
          <w:trHeight w:val="240"/>
        </w:trPr>
        <w:tc>
          <w:tcPr>
            <w:tcW w:w="1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029024A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6EDB187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6646BE5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30031B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7980493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984C57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 (4/1)*100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0598A9B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 (4/3)*100</w:t>
            </w:r>
          </w:p>
        </w:tc>
      </w:tr>
      <w:tr w:rsidR="0002154C" w:rsidRPr="0002154C" w14:paraId="2068438A" w14:textId="77777777" w:rsidTr="0002154C">
        <w:trPr>
          <w:trHeight w:val="495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5ED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C49D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11A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FFC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43C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6A7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5EED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02154C" w:rsidRPr="0002154C" w14:paraId="304EE634" w14:textId="77777777" w:rsidTr="0002154C">
        <w:trPr>
          <w:trHeight w:val="495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3B6A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34DB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EA3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916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EA7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5A1D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4B7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02154C" w:rsidRPr="0002154C" w14:paraId="5CB56CF9" w14:textId="77777777" w:rsidTr="0002154C">
        <w:trPr>
          <w:trHeight w:val="495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227C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PRIJENOS SREDSTAVA IZ PRETHODNE GODINE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547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100.221,48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F0CA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96.851,00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593A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96.851,00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227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4.645,30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E17C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355F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4,80</w:t>
            </w:r>
          </w:p>
        </w:tc>
      </w:tr>
      <w:tr w:rsidR="0002154C" w:rsidRPr="0002154C" w14:paraId="60B74468" w14:textId="77777777" w:rsidTr="0002154C">
        <w:trPr>
          <w:trHeight w:val="495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658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PRIJENOS SREDSTAVA U SLJEDEĆU GODINU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E849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0D7A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D790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9FD0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DDC4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441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02154C" w:rsidRPr="0002154C" w14:paraId="3A3D3313" w14:textId="77777777" w:rsidTr="0002154C">
        <w:trPr>
          <w:trHeight w:val="240"/>
        </w:trPr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8403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56B0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7E9F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6D32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FBB7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7897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16DC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668C036B" w14:textId="77777777" w:rsidTr="0002154C">
        <w:trPr>
          <w:trHeight w:val="240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8DD3A3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sz w:val="18"/>
                <w:szCs w:val="18"/>
              </w:rPr>
              <w:t>NETO FINANCIRANJE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3A0E3EE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100.221,48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4F90A46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96.851,00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7AFFAD8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96.851,00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3DB0F10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4.645,30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481B836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628D6C9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4,80</w:t>
            </w:r>
          </w:p>
        </w:tc>
      </w:tr>
      <w:tr w:rsidR="0002154C" w:rsidRPr="0002154C" w14:paraId="3014DF21" w14:textId="77777777" w:rsidTr="0002154C">
        <w:trPr>
          <w:trHeight w:val="480"/>
        </w:trPr>
        <w:tc>
          <w:tcPr>
            <w:tcW w:w="1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46C17E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sz w:val="18"/>
                <w:szCs w:val="18"/>
              </w:rPr>
              <w:t>VIŠAK / MANJAK + NETO FINANCIRANJE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61DDF8A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1B99ACB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71838DD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5EE66FF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102.361,10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49631DF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7A80890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</w:tbl>
    <w:p w14:paraId="37FA87DA" w14:textId="16E66AA8" w:rsidR="003E687E" w:rsidRPr="003E687E" w:rsidRDefault="003E687E" w:rsidP="00D86DDC">
      <w:pPr>
        <w:spacing w:line="276" w:lineRule="auto"/>
        <w:rPr>
          <w:rFonts w:cs="Arial"/>
        </w:rPr>
      </w:pPr>
    </w:p>
    <w:p w14:paraId="4A8A6F70" w14:textId="77777777" w:rsidR="00D86DDC" w:rsidRDefault="00D86DDC" w:rsidP="003E687E">
      <w:pPr>
        <w:spacing w:line="276" w:lineRule="auto"/>
        <w:rPr>
          <w:rFonts w:cs="Arial"/>
          <w:color w:val="000000" w:themeColor="text1"/>
        </w:rPr>
        <w:sectPr w:rsidR="00D86DDC" w:rsidSect="007C3517">
          <w:footerReference w:type="default" r:id="rId11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5ABCADE2" w14:textId="3AC4A60F" w:rsidR="003E687E" w:rsidRDefault="003E687E" w:rsidP="003E687E">
      <w:pPr>
        <w:spacing w:line="276" w:lineRule="auto"/>
        <w:rPr>
          <w:rFonts w:cs="Arial"/>
          <w:color w:val="000000" w:themeColor="text1"/>
        </w:rPr>
      </w:pPr>
      <w:r w:rsidRPr="003E687E">
        <w:rPr>
          <w:rFonts w:cs="Arial"/>
          <w:color w:val="000000" w:themeColor="text1"/>
        </w:rPr>
        <w:t>Tablica 2</w:t>
      </w:r>
    </w:p>
    <w:tbl>
      <w:tblPr>
        <w:tblW w:w="15320" w:type="dxa"/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82"/>
        <w:gridCol w:w="2182"/>
        <w:gridCol w:w="2182"/>
        <w:gridCol w:w="2182"/>
      </w:tblGrid>
      <w:tr w:rsidR="0002154C" w:rsidRPr="0002154C" w14:paraId="2DB3ED93" w14:textId="77777777" w:rsidTr="0002154C">
        <w:trPr>
          <w:trHeight w:val="240"/>
        </w:trPr>
        <w:tc>
          <w:tcPr>
            <w:tcW w:w="15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489B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1.2. RAČUN PRIHODA I RASHODA</w:t>
            </w:r>
          </w:p>
        </w:tc>
      </w:tr>
      <w:tr w:rsidR="0002154C" w:rsidRPr="0002154C" w14:paraId="31DD55AA" w14:textId="77777777" w:rsidTr="0002154C">
        <w:trPr>
          <w:trHeight w:val="24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EDC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C3A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23B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8D2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E63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85A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127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1F1643D9" w14:textId="77777777" w:rsidTr="0002154C">
        <w:trPr>
          <w:trHeight w:val="240"/>
        </w:trPr>
        <w:tc>
          <w:tcPr>
            <w:tcW w:w="15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C21B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1.2.1. IZVJEŠTAJ O PRIHODIMA I RASHODIMA PREMA EKONOMSKOJ KLASIFIKACIJI</w:t>
            </w:r>
          </w:p>
        </w:tc>
      </w:tr>
    </w:tbl>
    <w:p w14:paraId="7EDCA69E" w14:textId="77D713B4" w:rsidR="00D86DDC" w:rsidRDefault="00D86DDC" w:rsidP="003E687E">
      <w:pPr>
        <w:spacing w:line="276" w:lineRule="auto"/>
        <w:rPr>
          <w:rFonts w:cs="Arial"/>
          <w:color w:val="000000" w:themeColor="text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34"/>
        <w:gridCol w:w="1309"/>
        <w:gridCol w:w="1312"/>
        <w:gridCol w:w="1312"/>
        <w:gridCol w:w="1309"/>
        <w:gridCol w:w="1324"/>
        <w:gridCol w:w="1560"/>
      </w:tblGrid>
      <w:tr w:rsidR="0002154C" w:rsidRPr="0002154C" w14:paraId="12A0839D" w14:textId="77777777" w:rsidTr="0002154C">
        <w:trPr>
          <w:trHeight w:val="960"/>
        </w:trPr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C45A89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760F30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IZVRŠENJE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 xml:space="preserve">01.01-30.06.2022.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D59504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IZVORNI PLAN ILI REBALANS ZA 2023.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668A43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TEKUĆI                           PLAN ZA 2023.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771445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IZVRŠENJE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01.01-30.06.2023. EUR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F58E1A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INDEKS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FD5A82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02154C" w:rsidRPr="0002154C" w14:paraId="134FBE76" w14:textId="77777777" w:rsidTr="0002154C">
        <w:trPr>
          <w:trHeight w:val="240"/>
        </w:trPr>
        <w:tc>
          <w:tcPr>
            <w:tcW w:w="2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2E5CE4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527C5D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1DCFA6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2580327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21BE2C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2D7E24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 (4/1)*100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6F11A76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 (4/3)*100</w:t>
            </w:r>
          </w:p>
        </w:tc>
      </w:tr>
      <w:tr w:rsidR="0002154C" w:rsidRPr="0002154C" w14:paraId="68E03C03" w14:textId="77777777" w:rsidTr="0002154C">
        <w:trPr>
          <w:trHeight w:val="240"/>
        </w:trPr>
        <w:tc>
          <w:tcPr>
            <w:tcW w:w="212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95B3D7"/>
            <w:noWrap/>
            <w:vAlign w:val="bottom"/>
            <w:hideMark/>
          </w:tcPr>
          <w:p w14:paraId="754A769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RAZDJEL 185 DRŽAVNI URED ZA REVIZIJU</w:t>
            </w:r>
          </w:p>
        </w:tc>
        <w:tc>
          <w:tcPr>
            <w:tcW w:w="46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95B3D7"/>
            <w:noWrap/>
            <w:vAlign w:val="bottom"/>
            <w:hideMark/>
          </w:tcPr>
          <w:p w14:paraId="44B3F11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5.185.100,61</w:t>
            </w:r>
          </w:p>
        </w:tc>
        <w:tc>
          <w:tcPr>
            <w:tcW w:w="46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95B3D7"/>
            <w:noWrap/>
            <w:vAlign w:val="bottom"/>
            <w:hideMark/>
          </w:tcPr>
          <w:p w14:paraId="4634093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14.319.137,00</w:t>
            </w:r>
          </w:p>
        </w:tc>
        <w:tc>
          <w:tcPr>
            <w:tcW w:w="46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95B3D7"/>
            <w:noWrap/>
            <w:vAlign w:val="bottom"/>
            <w:hideMark/>
          </w:tcPr>
          <w:p w14:paraId="55518BD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14.319.137,00</w:t>
            </w:r>
          </w:p>
        </w:tc>
        <w:tc>
          <w:tcPr>
            <w:tcW w:w="46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95B3D7"/>
            <w:noWrap/>
            <w:vAlign w:val="bottom"/>
            <w:hideMark/>
          </w:tcPr>
          <w:p w14:paraId="346EBEA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5.530.286,71</w:t>
            </w:r>
          </w:p>
        </w:tc>
        <w:tc>
          <w:tcPr>
            <w:tcW w:w="46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95B3D7"/>
            <w:noWrap/>
            <w:vAlign w:val="bottom"/>
            <w:hideMark/>
          </w:tcPr>
          <w:p w14:paraId="1794D6B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106,70</w:t>
            </w:r>
          </w:p>
        </w:tc>
        <w:tc>
          <w:tcPr>
            <w:tcW w:w="55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95B3D7"/>
            <w:noWrap/>
            <w:vAlign w:val="bottom"/>
            <w:hideMark/>
          </w:tcPr>
          <w:p w14:paraId="43FD563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38,62</w:t>
            </w:r>
          </w:p>
        </w:tc>
      </w:tr>
      <w:tr w:rsidR="0002154C" w:rsidRPr="0002154C" w14:paraId="5B60DFDC" w14:textId="77777777" w:rsidTr="0002154C">
        <w:trPr>
          <w:trHeight w:val="240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7D6B315A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 Prihodi poslovanja</w:t>
            </w:r>
          </w:p>
        </w:tc>
        <w:tc>
          <w:tcPr>
            <w:tcW w:w="46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145149F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5.185.100,61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0D8FAE1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14.319.137,00</w:t>
            </w:r>
          </w:p>
        </w:tc>
        <w:tc>
          <w:tcPr>
            <w:tcW w:w="46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5C16CA5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14.319.137,00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715DAD4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5.530.286,71</w:t>
            </w:r>
          </w:p>
        </w:tc>
        <w:tc>
          <w:tcPr>
            <w:tcW w:w="46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31CE04D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106,70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479C89D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38,62</w:t>
            </w:r>
          </w:p>
        </w:tc>
      </w:tr>
      <w:tr w:rsidR="0002154C" w:rsidRPr="0002154C" w14:paraId="7D3FCBED" w14:textId="77777777" w:rsidTr="0002154C">
        <w:trPr>
          <w:trHeight w:val="240"/>
        </w:trPr>
        <w:tc>
          <w:tcPr>
            <w:tcW w:w="212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7DEE8"/>
            <w:noWrap/>
            <w:vAlign w:val="bottom"/>
            <w:hideMark/>
          </w:tcPr>
          <w:p w14:paraId="2E78E433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46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B7DEE8"/>
            <w:noWrap/>
            <w:vAlign w:val="bottom"/>
            <w:hideMark/>
          </w:tcPr>
          <w:p w14:paraId="6ED733D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271.407,38</w:t>
            </w:r>
          </w:p>
        </w:tc>
        <w:tc>
          <w:tcPr>
            <w:tcW w:w="46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7DEE8"/>
            <w:noWrap/>
            <w:vAlign w:val="bottom"/>
            <w:hideMark/>
          </w:tcPr>
          <w:p w14:paraId="50EDC67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918.207,00</w:t>
            </w:r>
          </w:p>
        </w:tc>
        <w:tc>
          <w:tcPr>
            <w:tcW w:w="46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B7DEE8"/>
            <w:noWrap/>
            <w:vAlign w:val="bottom"/>
            <w:hideMark/>
          </w:tcPr>
          <w:p w14:paraId="4CE3454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918.207,00</w:t>
            </w:r>
          </w:p>
        </w:tc>
        <w:tc>
          <w:tcPr>
            <w:tcW w:w="46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7DEE8"/>
            <w:noWrap/>
            <w:vAlign w:val="bottom"/>
            <w:hideMark/>
          </w:tcPr>
          <w:p w14:paraId="45E4A4C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357.797,18</w:t>
            </w:r>
          </w:p>
        </w:tc>
        <w:tc>
          <w:tcPr>
            <w:tcW w:w="46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B7DEE8"/>
            <w:noWrap/>
            <w:vAlign w:val="bottom"/>
            <w:hideMark/>
          </w:tcPr>
          <w:p w14:paraId="6F92622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131,80</w:t>
            </w:r>
          </w:p>
        </w:tc>
        <w:tc>
          <w:tcPr>
            <w:tcW w:w="55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7DEE8"/>
            <w:noWrap/>
            <w:vAlign w:val="bottom"/>
            <w:hideMark/>
          </w:tcPr>
          <w:p w14:paraId="5DCC2F4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38,97</w:t>
            </w:r>
          </w:p>
        </w:tc>
      </w:tr>
      <w:tr w:rsidR="0002154C" w:rsidRPr="0002154C" w14:paraId="4FE937E1" w14:textId="77777777" w:rsidTr="0002154C">
        <w:trPr>
          <w:trHeight w:val="240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14:paraId="137F4853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632 Pomoći od međunarodnih organizacija te institucija i tijela EU</w:t>
            </w:r>
          </w:p>
        </w:tc>
        <w:tc>
          <w:tcPr>
            <w:tcW w:w="46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15064A2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271.407,38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D56B3C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918.207,00</w:t>
            </w:r>
          </w:p>
        </w:tc>
        <w:tc>
          <w:tcPr>
            <w:tcW w:w="46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723A857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918.207,00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A1F39B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357.797,18</w:t>
            </w:r>
          </w:p>
        </w:tc>
        <w:tc>
          <w:tcPr>
            <w:tcW w:w="46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2AF500C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131,80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42AFAE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38,97</w:t>
            </w:r>
          </w:p>
        </w:tc>
      </w:tr>
      <w:tr w:rsidR="0002154C" w:rsidRPr="0002154C" w14:paraId="410B90EF" w14:textId="77777777" w:rsidTr="0002154C">
        <w:trPr>
          <w:trHeight w:val="240"/>
        </w:trPr>
        <w:tc>
          <w:tcPr>
            <w:tcW w:w="212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41118E27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6324 Kapitalne pomoći od institucija i tijela  EU</w:t>
            </w:r>
          </w:p>
        </w:tc>
        <w:tc>
          <w:tcPr>
            <w:tcW w:w="46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98738B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271.407,38</w:t>
            </w:r>
          </w:p>
        </w:tc>
        <w:tc>
          <w:tcPr>
            <w:tcW w:w="46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397E0C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02154C">
              <w:rPr>
                <w:rFonts w:ascii="Calibri" w:hAnsi="Calibri"/>
                <w:color w:val="FFFFFF"/>
                <w:sz w:val="18"/>
                <w:szCs w:val="18"/>
              </w:rPr>
              <w:t>918.207,00</w:t>
            </w:r>
          </w:p>
        </w:tc>
        <w:tc>
          <w:tcPr>
            <w:tcW w:w="46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4972EB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02154C">
              <w:rPr>
                <w:rFonts w:ascii="Calibri" w:hAnsi="Calibri"/>
                <w:color w:val="FFFFFF"/>
                <w:sz w:val="18"/>
                <w:szCs w:val="18"/>
              </w:rPr>
              <w:t>918.207,00</w:t>
            </w:r>
          </w:p>
        </w:tc>
        <w:tc>
          <w:tcPr>
            <w:tcW w:w="46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6E94A4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357.797,18</w:t>
            </w:r>
          </w:p>
        </w:tc>
        <w:tc>
          <w:tcPr>
            <w:tcW w:w="46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ED3470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131,80</w:t>
            </w:r>
          </w:p>
        </w:tc>
        <w:tc>
          <w:tcPr>
            <w:tcW w:w="55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A59C5F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02154C">
              <w:rPr>
                <w:rFonts w:ascii="Calibri" w:hAnsi="Calibri"/>
                <w:color w:val="FFFFFF"/>
                <w:sz w:val="18"/>
                <w:szCs w:val="18"/>
              </w:rPr>
              <w:t>38,97</w:t>
            </w:r>
          </w:p>
        </w:tc>
      </w:tr>
      <w:tr w:rsidR="0002154C" w:rsidRPr="0002154C" w14:paraId="282EED11" w14:textId="77777777" w:rsidTr="0002154C">
        <w:trPr>
          <w:trHeight w:val="240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73C3E741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46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7DEE8"/>
            <w:noWrap/>
            <w:vAlign w:val="bottom"/>
            <w:hideMark/>
          </w:tcPr>
          <w:p w14:paraId="3D8B9EE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489.039,09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305CBCB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112.251,00</w:t>
            </w:r>
          </w:p>
        </w:tc>
        <w:tc>
          <w:tcPr>
            <w:tcW w:w="46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7DEE8"/>
            <w:noWrap/>
            <w:vAlign w:val="bottom"/>
            <w:hideMark/>
          </w:tcPr>
          <w:p w14:paraId="70C1AC4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112.251,00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50FADEC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102.361,10</w:t>
            </w:r>
          </w:p>
        </w:tc>
        <w:tc>
          <w:tcPr>
            <w:tcW w:w="46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7DEE8"/>
            <w:noWrap/>
            <w:vAlign w:val="bottom"/>
            <w:hideMark/>
          </w:tcPr>
          <w:p w14:paraId="43427BE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20,90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6897F21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91,19</w:t>
            </w:r>
          </w:p>
        </w:tc>
      </w:tr>
      <w:tr w:rsidR="0002154C" w:rsidRPr="0002154C" w14:paraId="0FF83F65" w14:textId="77777777" w:rsidTr="0002154C">
        <w:trPr>
          <w:trHeight w:val="240"/>
        </w:trPr>
        <w:tc>
          <w:tcPr>
            <w:tcW w:w="212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vAlign w:val="bottom"/>
            <w:hideMark/>
          </w:tcPr>
          <w:p w14:paraId="2B496C0F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46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3AC34ED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489.039,09</w:t>
            </w:r>
          </w:p>
        </w:tc>
        <w:tc>
          <w:tcPr>
            <w:tcW w:w="46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noWrap/>
            <w:vAlign w:val="bottom"/>
            <w:hideMark/>
          </w:tcPr>
          <w:p w14:paraId="71B494A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112.251,00</w:t>
            </w:r>
          </w:p>
        </w:tc>
        <w:tc>
          <w:tcPr>
            <w:tcW w:w="46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37B8936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112.251,00</w:t>
            </w:r>
          </w:p>
        </w:tc>
        <w:tc>
          <w:tcPr>
            <w:tcW w:w="46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noWrap/>
            <w:vAlign w:val="bottom"/>
            <w:hideMark/>
          </w:tcPr>
          <w:p w14:paraId="3EFAC4A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102.361,10</w:t>
            </w:r>
          </w:p>
        </w:tc>
        <w:tc>
          <w:tcPr>
            <w:tcW w:w="46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35583C4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20,90</w:t>
            </w:r>
          </w:p>
        </w:tc>
        <w:tc>
          <w:tcPr>
            <w:tcW w:w="55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noWrap/>
            <w:vAlign w:val="bottom"/>
            <w:hideMark/>
          </w:tcPr>
          <w:p w14:paraId="150C327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91,19</w:t>
            </w:r>
          </w:p>
        </w:tc>
      </w:tr>
      <w:tr w:rsidR="0002154C" w:rsidRPr="0002154C" w14:paraId="65B52536" w14:textId="77777777" w:rsidTr="0002154C">
        <w:trPr>
          <w:trHeight w:val="240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4C275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6615 Prihodi od pruženih usluga</w:t>
            </w:r>
          </w:p>
        </w:tc>
        <w:tc>
          <w:tcPr>
            <w:tcW w:w="46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8C4E84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489.039,09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F91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02154C">
              <w:rPr>
                <w:rFonts w:ascii="Calibri" w:hAnsi="Calibri"/>
                <w:color w:val="FFFFFF"/>
                <w:sz w:val="18"/>
                <w:szCs w:val="18"/>
              </w:rPr>
              <w:t>112.251,00</w:t>
            </w:r>
          </w:p>
        </w:tc>
        <w:tc>
          <w:tcPr>
            <w:tcW w:w="46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A764A9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02154C">
              <w:rPr>
                <w:rFonts w:ascii="Calibri" w:hAnsi="Calibri"/>
                <w:color w:val="FFFFFF"/>
                <w:sz w:val="18"/>
                <w:szCs w:val="18"/>
              </w:rPr>
              <w:t>112.251,00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198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102.361,10</w:t>
            </w:r>
          </w:p>
        </w:tc>
        <w:tc>
          <w:tcPr>
            <w:tcW w:w="46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2995E3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20,90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20C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02154C">
              <w:rPr>
                <w:rFonts w:ascii="Calibri" w:hAnsi="Calibri"/>
                <w:color w:val="FFFFFF"/>
                <w:sz w:val="18"/>
                <w:szCs w:val="18"/>
              </w:rPr>
              <w:t>91,19</w:t>
            </w:r>
          </w:p>
        </w:tc>
      </w:tr>
      <w:tr w:rsidR="0002154C" w:rsidRPr="0002154C" w14:paraId="57A58F12" w14:textId="77777777" w:rsidTr="0002154C">
        <w:trPr>
          <w:trHeight w:val="240"/>
        </w:trPr>
        <w:tc>
          <w:tcPr>
            <w:tcW w:w="212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7DEE8"/>
            <w:noWrap/>
            <w:vAlign w:val="bottom"/>
            <w:hideMark/>
          </w:tcPr>
          <w:p w14:paraId="7161830C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46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B7DEE8"/>
            <w:noWrap/>
            <w:vAlign w:val="bottom"/>
            <w:hideMark/>
          </w:tcPr>
          <w:p w14:paraId="44ED676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4.424.654,14</w:t>
            </w:r>
          </w:p>
        </w:tc>
        <w:tc>
          <w:tcPr>
            <w:tcW w:w="46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7DEE8"/>
            <w:noWrap/>
            <w:vAlign w:val="bottom"/>
            <w:hideMark/>
          </w:tcPr>
          <w:p w14:paraId="62A3F68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13.288.679,00</w:t>
            </w:r>
          </w:p>
        </w:tc>
        <w:tc>
          <w:tcPr>
            <w:tcW w:w="46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B7DEE8"/>
            <w:noWrap/>
            <w:vAlign w:val="bottom"/>
            <w:hideMark/>
          </w:tcPr>
          <w:p w14:paraId="4735E11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13.288.679,00</w:t>
            </w:r>
          </w:p>
        </w:tc>
        <w:tc>
          <w:tcPr>
            <w:tcW w:w="46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7DEE8"/>
            <w:noWrap/>
            <w:vAlign w:val="bottom"/>
            <w:hideMark/>
          </w:tcPr>
          <w:p w14:paraId="79097B8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5.070.128,43</w:t>
            </w:r>
          </w:p>
        </w:tc>
        <w:tc>
          <w:tcPr>
            <w:tcW w:w="46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B7DEE8"/>
            <w:noWrap/>
            <w:vAlign w:val="bottom"/>
            <w:hideMark/>
          </w:tcPr>
          <w:p w14:paraId="7BD50F7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114,60</w:t>
            </w:r>
          </w:p>
        </w:tc>
        <w:tc>
          <w:tcPr>
            <w:tcW w:w="55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7DEE8"/>
            <w:noWrap/>
            <w:vAlign w:val="bottom"/>
            <w:hideMark/>
          </w:tcPr>
          <w:p w14:paraId="37BFE44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38,15</w:t>
            </w:r>
          </w:p>
        </w:tc>
      </w:tr>
      <w:tr w:rsidR="0002154C" w:rsidRPr="0002154C" w14:paraId="12C8BD66" w14:textId="77777777" w:rsidTr="0002154C">
        <w:trPr>
          <w:trHeight w:val="480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14:paraId="056E9B7B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671 Prihodi iz nadležnog proračuna za financiranje redovne djelatnosti proračunskih korisnika</w:t>
            </w:r>
          </w:p>
        </w:tc>
        <w:tc>
          <w:tcPr>
            <w:tcW w:w="46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7F4F6D6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4.424.654,14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5254A0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13.288.679,00</w:t>
            </w:r>
          </w:p>
        </w:tc>
        <w:tc>
          <w:tcPr>
            <w:tcW w:w="46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2295FC8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13.288.679,00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F05CF4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5.070.128,43</w:t>
            </w:r>
          </w:p>
        </w:tc>
        <w:tc>
          <w:tcPr>
            <w:tcW w:w="46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4CED1FB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114,60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FE6C2B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38,15</w:t>
            </w:r>
          </w:p>
        </w:tc>
      </w:tr>
      <w:tr w:rsidR="0002154C" w:rsidRPr="0002154C" w14:paraId="34EBE5E1" w14:textId="77777777" w:rsidTr="0002154C">
        <w:trPr>
          <w:trHeight w:val="480"/>
        </w:trPr>
        <w:tc>
          <w:tcPr>
            <w:tcW w:w="212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3A16C081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6711 Prihodi iz nadležnog proračuna za financiranje rashoda poslovanja</w:t>
            </w:r>
          </w:p>
        </w:tc>
        <w:tc>
          <w:tcPr>
            <w:tcW w:w="46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5E3F58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4.357.207,55</w:t>
            </w:r>
          </w:p>
        </w:tc>
        <w:tc>
          <w:tcPr>
            <w:tcW w:w="46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54ED54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02154C">
              <w:rPr>
                <w:rFonts w:ascii="Calibri" w:hAnsi="Calibri"/>
                <w:color w:val="FFFFFF"/>
                <w:sz w:val="18"/>
                <w:szCs w:val="18"/>
              </w:rPr>
              <w:t>10.395.910,00</w:t>
            </w:r>
          </w:p>
        </w:tc>
        <w:tc>
          <w:tcPr>
            <w:tcW w:w="46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C59804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02154C">
              <w:rPr>
                <w:rFonts w:ascii="Calibri" w:hAnsi="Calibri"/>
                <w:color w:val="FFFFFF"/>
                <w:sz w:val="18"/>
                <w:szCs w:val="18"/>
              </w:rPr>
              <w:t>10.395.910,00</w:t>
            </w:r>
          </w:p>
        </w:tc>
        <w:tc>
          <w:tcPr>
            <w:tcW w:w="46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09A079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4.970.511,84</w:t>
            </w:r>
          </w:p>
        </w:tc>
        <w:tc>
          <w:tcPr>
            <w:tcW w:w="46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0212A3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114,10</w:t>
            </w:r>
          </w:p>
        </w:tc>
        <w:tc>
          <w:tcPr>
            <w:tcW w:w="55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35DEA2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02154C">
              <w:rPr>
                <w:rFonts w:ascii="Calibri" w:hAnsi="Calibri"/>
                <w:color w:val="FFFFFF"/>
                <w:sz w:val="18"/>
                <w:szCs w:val="18"/>
              </w:rPr>
              <w:t>47,81</w:t>
            </w:r>
          </w:p>
        </w:tc>
      </w:tr>
      <w:tr w:rsidR="0002154C" w:rsidRPr="0002154C" w14:paraId="79D31339" w14:textId="77777777" w:rsidTr="0002154C">
        <w:trPr>
          <w:trHeight w:val="480"/>
        </w:trPr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EC62C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6712 Prihodi iz nadležnog proračuna za financiranje rashoda za nabavu nefinancijske imovine</w:t>
            </w:r>
          </w:p>
        </w:tc>
        <w:tc>
          <w:tcPr>
            <w:tcW w:w="46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565733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67.446,59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71D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02154C">
              <w:rPr>
                <w:rFonts w:ascii="Calibri" w:hAnsi="Calibri"/>
                <w:color w:val="FFFFFF"/>
                <w:sz w:val="18"/>
                <w:szCs w:val="18"/>
              </w:rPr>
              <w:t>2.892.769,00</w:t>
            </w:r>
          </w:p>
        </w:tc>
        <w:tc>
          <w:tcPr>
            <w:tcW w:w="46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8D5B24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02154C">
              <w:rPr>
                <w:rFonts w:ascii="Calibri" w:hAnsi="Calibri"/>
                <w:color w:val="FFFFFF"/>
                <w:sz w:val="18"/>
                <w:szCs w:val="18"/>
              </w:rPr>
              <w:t>2.892.769,00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F71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99.616,59</w:t>
            </w:r>
          </w:p>
        </w:tc>
        <w:tc>
          <w:tcPr>
            <w:tcW w:w="46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085BD6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147,70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A05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02154C">
              <w:rPr>
                <w:rFonts w:ascii="Calibri" w:hAnsi="Calibri"/>
                <w:color w:val="FFFFFF"/>
                <w:sz w:val="18"/>
                <w:szCs w:val="18"/>
              </w:rPr>
              <w:t>3,44</w:t>
            </w:r>
          </w:p>
        </w:tc>
      </w:tr>
      <w:tr w:rsidR="0002154C" w:rsidRPr="0002154C" w14:paraId="1AAC903B" w14:textId="77777777" w:rsidTr="0002154C">
        <w:trPr>
          <w:trHeight w:val="240"/>
        </w:trPr>
        <w:tc>
          <w:tcPr>
            <w:tcW w:w="2122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31955CC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Ukupni zbroj</w:t>
            </w:r>
          </w:p>
        </w:tc>
        <w:tc>
          <w:tcPr>
            <w:tcW w:w="464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A152DD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5.185.100,61</w:t>
            </w:r>
          </w:p>
        </w:tc>
        <w:tc>
          <w:tcPr>
            <w:tcW w:w="465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298D3C8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14.319.137,00</w:t>
            </w:r>
          </w:p>
        </w:tc>
        <w:tc>
          <w:tcPr>
            <w:tcW w:w="465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A578DD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14.319.137,00</w:t>
            </w:r>
          </w:p>
        </w:tc>
        <w:tc>
          <w:tcPr>
            <w:tcW w:w="464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7BEA1F1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5.530.286,71</w:t>
            </w:r>
          </w:p>
        </w:tc>
        <w:tc>
          <w:tcPr>
            <w:tcW w:w="469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FB6A97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106,70</w:t>
            </w:r>
          </w:p>
        </w:tc>
        <w:tc>
          <w:tcPr>
            <w:tcW w:w="550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7D900F6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38,62</w:t>
            </w:r>
          </w:p>
        </w:tc>
      </w:tr>
    </w:tbl>
    <w:p w14:paraId="2B37E0C7" w14:textId="5535752A" w:rsidR="003E687E" w:rsidRDefault="003E687E" w:rsidP="003E687E">
      <w:pPr>
        <w:spacing w:line="276" w:lineRule="auto"/>
        <w:rPr>
          <w:rFonts w:cs="Arial"/>
          <w:color w:val="000000" w:themeColor="text1"/>
        </w:rPr>
      </w:pPr>
    </w:p>
    <w:p w14:paraId="66358374" w14:textId="77777777" w:rsidR="003E687E" w:rsidRDefault="003E687E" w:rsidP="003E687E">
      <w:pPr>
        <w:spacing w:line="276" w:lineRule="auto"/>
        <w:rPr>
          <w:rFonts w:cs="Arial"/>
          <w:color w:val="000000" w:themeColor="text1"/>
        </w:rPr>
      </w:pPr>
    </w:p>
    <w:p w14:paraId="65EE9C43" w14:textId="77777777" w:rsidR="00D86DDC" w:rsidRDefault="00D86DDC">
      <w:pPr>
        <w:widowControl/>
        <w:autoSpaceDE/>
        <w:autoSpaceDN/>
        <w:adjustRightInd/>
        <w:spacing w:after="160" w:line="259" w:lineRule="auto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9E4ED08" w14:textId="0D846458" w:rsidR="00D86DDC" w:rsidRDefault="00D86DDC" w:rsidP="00D86DDC">
      <w:pPr>
        <w:widowControl/>
        <w:autoSpaceDE/>
        <w:autoSpaceDN/>
        <w:adjustRightInd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62"/>
        <w:gridCol w:w="1368"/>
        <w:gridCol w:w="1369"/>
        <w:gridCol w:w="1369"/>
        <w:gridCol w:w="1369"/>
        <w:gridCol w:w="1389"/>
        <w:gridCol w:w="1634"/>
      </w:tblGrid>
      <w:tr w:rsidR="0002154C" w:rsidRPr="0002154C" w14:paraId="5ED3AA9E" w14:textId="77777777" w:rsidTr="0002154C">
        <w:trPr>
          <w:trHeight w:val="960"/>
          <w:tblHeader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FDE46E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D5213F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IZVRŠENJE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 xml:space="preserve">01.01-30.06.2022.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0D47F5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IZVORNI PLAN ILI REBALANS ZA 2023.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325DE3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TEKUĆI                           PLAN ZA 2023.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ECA7A8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IZVRŠENJE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01.01-30.06.2023. EUR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8CBA71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INDEKS 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7D62EF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02154C" w:rsidRPr="0002154C" w14:paraId="6CFBA4F1" w14:textId="77777777" w:rsidTr="0002154C">
        <w:trPr>
          <w:trHeight w:val="240"/>
          <w:tblHeader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79454BC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7279366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2F2A270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7F28F8C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61DC1EE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49ADB5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 (4/1)*100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3DD546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 (4/3)*100</w:t>
            </w:r>
          </w:p>
        </w:tc>
      </w:tr>
      <w:tr w:rsidR="0002154C" w:rsidRPr="0002154C" w14:paraId="7E1C1E37" w14:textId="77777777" w:rsidTr="0002154C">
        <w:trPr>
          <w:trHeight w:val="24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0CF3B43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RAZDJEL 185 DRŽAVNI URED ZA REVIZIJU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7C55E68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5.285.322,09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067940C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74B7D33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4B2E972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5.432.570,91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556AB48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799C595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37,68</w:t>
            </w:r>
          </w:p>
        </w:tc>
      </w:tr>
      <w:tr w:rsidR="0002154C" w:rsidRPr="0002154C" w14:paraId="722EB3F4" w14:textId="77777777" w:rsidTr="0002154C">
        <w:trPr>
          <w:trHeight w:val="24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7C02C6D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 Rashodi poslovanja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275229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4.946.468,12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089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10.580.265,00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90088B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10.580.265,00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9CD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4.975.157,14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E538F9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100,60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94B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47,02</w:t>
            </w:r>
          </w:p>
        </w:tc>
      </w:tr>
      <w:tr w:rsidR="0002154C" w:rsidRPr="0002154C" w14:paraId="05F038BE" w14:textId="77777777" w:rsidTr="0002154C">
        <w:trPr>
          <w:trHeight w:val="24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7DEE8"/>
            <w:vAlign w:val="bottom"/>
            <w:hideMark/>
          </w:tcPr>
          <w:p w14:paraId="04BA98AC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31 Rashodi za zaposlene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7FA9D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3.898.939,32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DA48A0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8.519.079,00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C4F38D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8.519.079,00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6440F8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4.143.432,30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C13B6A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106,30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B5423D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48,64</w:t>
            </w:r>
          </w:p>
        </w:tc>
      </w:tr>
      <w:tr w:rsidR="0002154C" w:rsidRPr="0002154C" w14:paraId="6B57E1E2" w14:textId="77777777" w:rsidTr="0002154C">
        <w:trPr>
          <w:trHeight w:val="24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14:paraId="6BBD7CA1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311 Plaće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5F6321C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3.261.741,82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912A6E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7.140.488,00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5B9ACCA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7.140.488,00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AB0F5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3.445.335,25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29787E8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105,60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E9AFFE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48,25</w:t>
            </w:r>
          </w:p>
        </w:tc>
      </w:tr>
      <w:tr w:rsidR="0002154C" w:rsidRPr="0002154C" w14:paraId="5F6266C5" w14:textId="77777777" w:rsidTr="0002154C">
        <w:trPr>
          <w:trHeight w:val="24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2581984F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3111 Plaće za redovni rad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7BCD64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3.251.893,38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274675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7.113.943,00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6AE160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7.113.943,00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F90E49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3.432.433,36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49D3B1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105,60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EF1700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48,25</w:t>
            </w:r>
          </w:p>
        </w:tc>
      </w:tr>
      <w:tr w:rsidR="0002154C" w:rsidRPr="0002154C" w14:paraId="7A3EA333" w14:textId="77777777" w:rsidTr="0002154C">
        <w:trPr>
          <w:trHeight w:val="24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D8B4D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3113 Plaće za prekovremeni rad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BA5ECD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9.848,44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45E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26.545,00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5929F8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26.545,00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24D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12.901,89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B34E5F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131,00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B51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48,60</w:t>
            </w:r>
          </w:p>
        </w:tc>
      </w:tr>
      <w:tr w:rsidR="0002154C" w:rsidRPr="0002154C" w14:paraId="551537FE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vAlign w:val="bottom"/>
            <w:hideMark/>
          </w:tcPr>
          <w:p w14:paraId="5007C5ED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312 Ostali rashodi za zaposlene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5540EC3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110.544,58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noWrap/>
            <w:vAlign w:val="bottom"/>
            <w:hideMark/>
          </w:tcPr>
          <w:p w14:paraId="36B3C38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200.411,00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2960734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200.411,00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noWrap/>
            <w:vAlign w:val="bottom"/>
            <w:hideMark/>
          </w:tcPr>
          <w:p w14:paraId="74321EF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137.411,94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41DBA75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124,30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noWrap/>
            <w:vAlign w:val="bottom"/>
            <w:hideMark/>
          </w:tcPr>
          <w:p w14:paraId="22B000A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68,57</w:t>
            </w:r>
          </w:p>
        </w:tc>
      </w:tr>
      <w:tr w:rsidR="0002154C" w:rsidRPr="0002154C" w14:paraId="294DD6DE" w14:textId="77777777" w:rsidTr="0002154C">
        <w:trPr>
          <w:trHeight w:val="24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1EFC1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3121 Ostali rashodi za zaposlene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D2788D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110.544,58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961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200.411,00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AC0D9F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200.411,00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7CC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137.411,94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39D799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124,30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8E0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68,57</w:t>
            </w:r>
          </w:p>
        </w:tc>
      </w:tr>
      <w:tr w:rsidR="0002154C" w:rsidRPr="0002154C" w14:paraId="03D0C6A8" w14:textId="77777777" w:rsidTr="0002154C">
        <w:trPr>
          <w:trHeight w:val="24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vAlign w:val="bottom"/>
            <w:hideMark/>
          </w:tcPr>
          <w:p w14:paraId="2A38CAF5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313 Doprinosi za plaće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5FCED75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526.652,92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noWrap/>
            <w:vAlign w:val="bottom"/>
            <w:hideMark/>
          </w:tcPr>
          <w:p w14:paraId="1D28299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1.178.180,00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28D0E29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1.178.180,00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noWrap/>
            <w:vAlign w:val="bottom"/>
            <w:hideMark/>
          </w:tcPr>
          <w:p w14:paraId="7091BF6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560.685,11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2268B89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106,50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noWrap/>
            <w:vAlign w:val="bottom"/>
            <w:hideMark/>
          </w:tcPr>
          <w:p w14:paraId="267F7C5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47,59</w:t>
            </w:r>
          </w:p>
        </w:tc>
      </w:tr>
      <w:tr w:rsidR="0002154C" w:rsidRPr="0002154C" w14:paraId="718AA111" w14:textId="77777777" w:rsidTr="0002154C">
        <w:trPr>
          <w:trHeight w:val="24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1DA58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4024E7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526.652,92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05A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1.178.180,00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EAB543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1.178.180,00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010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560.685,11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64F509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106,50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7B4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47,59</w:t>
            </w:r>
          </w:p>
        </w:tc>
      </w:tr>
      <w:tr w:rsidR="0002154C" w:rsidRPr="0002154C" w14:paraId="3A3CBB1D" w14:textId="77777777" w:rsidTr="0002154C">
        <w:trPr>
          <w:trHeight w:val="24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7DEE8"/>
            <w:vAlign w:val="bottom"/>
            <w:hideMark/>
          </w:tcPr>
          <w:p w14:paraId="6E520B8C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C91FC2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1.046.667,73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78385F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2.036.156,00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BB6283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2.036.156,00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632CD7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825.821,36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601C44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78,90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CD45E9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40,56</w:t>
            </w:r>
          </w:p>
        </w:tc>
      </w:tr>
      <w:tr w:rsidR="0002154C" w:rsidRPr="0002154C" w14:paraId="65B8AFC4" w14:textId="77777777" w:rsidTr="0002154C">
        <w:trPr>
          <w:trHeight w:val="24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14:paraId="46E32A97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321 Naknade troškova zaposlenima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13E5C1A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177.742,40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04281C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517.288,00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427A6B6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517.288,00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D77A88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148.467,45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2289603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83,50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B3E07A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28,70</w:t>
            </w:r>
          </w:p>
        </w:tc>
      </w:tr>
      <w:tr w:rsidR="0002154C" w:rsidRPr="0002154C" w14:paraId="5283D301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93BD614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3211 Službena putovanja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790C25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87.499,66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77C4DD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246.534,00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6C3CAF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246.534,00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04F0C2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44.529,65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390F4A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50,90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B067A0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18,06</w:t>
            </w:r>
          </w:p>
        </w:tc>
      </w:tr>
      <w:tr w:rsidR="0002154C" w:rsidRPr="0002154C" w14:paraId="17DC6599" w14:textId="77777777" w:rsidTr="0002154C">
        <w:trPr>
          <w:trHeight w:val="24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2A841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3212 Naknade za prijevoz za rad na terenu i odvojeni život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63D85C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86.461,48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32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217.665,00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623827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217.665,00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835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92.943,75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ACA98D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107,50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1E7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42,70</w:t>
            </w:r>
          </w:p>
        </w:tc>
      </w:tr>
      <w:tr w:rsidR="0002154C" w:rsidRPr="0002154C" w14:paraId="1012DC1B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D325D4B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3213 Stručno usavršavanje zaposlenika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03207B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3.781,26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A5F194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53.089,00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D588C4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53.089,00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90B874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10.994,05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A5224D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290,80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C5CD2E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20,71</w:t>
            </w:r>
          </w:p>
        </w:tc>
      </w:tr>
      <w:tr w:rsidR="0002154C" w:rsidRPr="0002154C" w14:paraId="764F1EAD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14:paraId="3E92ADAF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322 Rashodi za materijal i energiju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1C1DDD0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119.953,32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0B62AB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297.640,00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2790A28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297.640,00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2B7701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132.322,39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0254809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110,30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ED6177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44,46</w:t>
            </w:r>
          </w:p>
        </w:tc>
      </w:tr>
      <w:tr w:rsidR="0002154C" w:rsidRPr="0002154C" w14:paraId="2A3CF09F" w14:textId="77777777" w:rsidTr="0002154C">
        <w:trPr>
          <w:trHeight w:val="24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5458B9B9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AD9D72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18.644,79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220EBE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63.707,00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407083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63.707,00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CD2CCC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41.335,90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E07650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221,70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CBBC33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64,88</w:t>
            </w:r>
          </w:p>
        </w:tc>
      </w:tr>
      <w:tr w:rsidR="0002154C" w:rsidRPr="0002154C" w14:paraId="6DFBF48C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7BCDB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3223 Energija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B45072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95.175,25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7AA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213.020,00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280D6D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213.020,00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F51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84.421,01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6294EA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88,70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A02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39,63</w:t>
            </w:r>
          </w:p>
        </w:tc>
      </w:tr>
      <w:tr w:rsidR="0002154C" w:rsidRPr="0002154C" w14:paraId="76125B8A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5E18CC7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8E29A1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426,68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83F330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2.654,00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B96AF3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2.654,00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ECC0ED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168,25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561593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39,40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2A8856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6,34</w:t>
            </w:r>
          </w:p>
        </w:tc>
      </w:tr>
      <w:tr w:rsidR="0002154C" w:rsidRPr="0002154C" w14:paraId="5430E34E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EB3E5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3225 Sitni inventar i autogume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B582E4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4.644,82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750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14.608,00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D3B0E9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14.608,00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CB9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5.397,23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90C4EC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116,20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151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36,95</w:t>
            </w:r>
          </w:p>
        </w:tc>
      </w:tr>
      <w:tr w:rsidR="0002154C" w:rsidRPr="0002154C" w14:paraId="65D3E676" w14:textId="77777777" w:rsidTr="0002154C">
        <w:trPr>
          <w:trHeight w:val="24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28CF9E7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3227 Službena radna i zaštitna odjeća i obuća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55C199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1.061,78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94D92E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3.651,00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008E5A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3.651,00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0602E8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4E60DF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94,20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8B1BE0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27,39</w:t>
            </w:r>
          </w:p>
        </w:tc>
      </w:tr>
      <w:tr w:rsidR="0002154C" w:rsidRPr="0002154C" w14:paraId="55CFEB44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14:paraId="0D3D277E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323 Rashodi za usluge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7E20D27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633.742,32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C36A97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1.135.508,00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681142A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1.135.508,00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935FDF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507.219,40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275DDB8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6BAC2C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44,67</w:t>
            </w:r>
          </w:p>
        </w:tc>
      </w:tr>
      <w:tr w:rsidR="0002154C" w:rsidRPr="0002154C" w14:paraId="700E25E4" w14:textId="77777777" w:rsidTr="0002154C">
        <w:trPr>
          <w:trHeight w:val="24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248183C5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3231 Usluge telefona, pošte i prijevoza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7A8DDE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33.505,90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455CFB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106.106,00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B0F8A4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106.106,00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E38D95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36.028,30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5F637F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107,50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1CCFCE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33,96</w:t>
            </w:r>
          </w:p>
        </w:tc>
      </w:tr>
      <w:tr w:rsidR="0002154C" w:rsidRPr="0002154C" w14:paraId="727B3A5A" w14:textId="77777777" w:rsidTr="0002154C">
        <w:trPr>
          <w:trHeight w:val="24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09A14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2B3F40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17.305,47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15D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187.524,00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444CC6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187.524,00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70D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60.761,15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B32CC9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351,10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603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32,40</w:t>
            </w:r>
          </w:p>
        </w:tc>
      </w:tr>
      <w:tr w:rsidR="0002154C" w:rsidRPr="0002154C" w14:paraId="55439BF3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C7A9231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3233 Usluge promidžbe i informiranja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47599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5.011,80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D45A09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7.964,00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32EC8C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7.964,00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4D940C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4.190,82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D97CF6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83,60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3FBFDC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52,62</w:t>
            </w:r>
          </w:p>
        </w:tc>
      </w:tr>
      <w:tr w:rsidR="0002154C" w:rsidRPr="0002154C" w14:paraId="39D08ED1" w14:textId="77777777" w:rsidTr="0002154C">
        <w:trPr>
          <w:trHeight w:val="24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29F42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3234 Komunalne usluge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E64629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20.938,44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37B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53.089,00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DEE4C0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53.089,00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C61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24.598,53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BA8465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117,50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32F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46,33</w:t>
            </w:r>
          </w:p>
        </w:tc>
      </w:tr>
      <w:tr w:rsidR="0002154C" w:rsidRPr="0002154C" w14:paraId="6704F866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1103B448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3235 Zakupnine i najamnine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627E52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17.497,43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38EEF7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289.911,00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D84BFE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289.911,00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8C3ED4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119.554,88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F733C4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683,30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2DD189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41,24</w:t>
            </w:r>
          </w:p>
        </w:tc>
      </w:tr>
      <w:tr w:rsidR="0002154C" w:rsidRPr="0002154C" w14:paraId="3EA577A9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A4CF4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3236 Zdravstvene i veterinarske usluge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A26F5B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3.095,10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8B5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26.651,00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D69CAF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26.651,00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469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5EFA37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BDD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48ABB313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6CEC5BB8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3237 Intelektualne i osobne usluge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2878D1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428.976,31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53B9C5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66.289,00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AE8B2C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66.289,00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C1F76F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24.090,78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232F6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5,60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6DD73A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36,34</w:t>
            </w:r>
          </w:p>
        </w:tc>
      </w:tr>
      <w:tr w:rsidR="0002154C" w:rsidRPr="0002154C" w14:paraId="5F05B71E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1CA13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3238 Računalne usluge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5B2238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30.966,76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D53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237.334,00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3E8988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237.334,00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CB4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142.372,22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D956B9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459,80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0D5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59,99</w:t>
            </w:r>
          </w:p>
        </w:tc>
      </w:tr>
      <w:tr w:rsidR="0002154C" w:rsidRPr="0002154C" w14:paraId="47CA2B0E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94EE50B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3239 Ostale usluge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2B5CD7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76.445,11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397E21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160.640,00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4C9450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160.640,00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868F72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95.622,72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DDD769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125,10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41A80C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59,53</w:t>
            </w:r>
          </w:p>
        </w:tc>
      </w:tr>
      <w:tr w:rsidR="0002154C" w:rsidRPr="0002154C" w14:paraId="611ACB59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14:paraId="31E281BE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324 Naknade troškova osobama izvan radnog odnosa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59981EB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88.234,12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BDEC09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6B8E916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76E147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3514A5B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42596E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2154C" w:rsidRPr="0002154C" w14:paraId="1B789EDD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5BF7EE6C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1827DF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88.234,12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626AF8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528256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030DBE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D7213A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C69A20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2C81B30C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14:paraId="7D7334FC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329 Ostali nespomenuti rashodi poslovanja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47C4AA4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26.995,57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EC5FE1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85.720,00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6CB1F2C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85.720,00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1BB932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37.812,12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14086D4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140,10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254DBD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44,11</w:t>
            </w:r>
          </w:p>
        </w:tc>
      </w:tr>
      <w:tr w:rsidR="0002154C" w:rsidRPr="0002154C" w14:paraId="3DFA2484" w14:textId="77777777" w:rsidTr="0002154C">
        <w:trPr>
          <w:trHeight w:val="495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52E54BE2" w14:textId="77777777" w:rsidR="00B05382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 xml:space="preserve">3291 Naknade za rad predstavničkih i izvršnih tijela, povjerenstava i </w:t>
            </w:r>
          </w:p>
          <w:p w14:paraId="06BEB033" w14:textId="7523595B" w:rsidR="0002154C" w:rsidRPr="0002154C" w:rsidRDefault="00B05382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      </w:t>
            </w:r>
            <w:r w:rsidR="0002154C" w:rsidRPr="0002154C">
              <w:rPr>
                <w:rFonts w:ascii="Calibri" w:hAnsi="Calibri"/>
                <w:color w:val="000000"/>
                <w:sz w:val="18"/>
                <w:szCs w:val="18"/>
              </w:rPr>
              <w:t>slično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C7A4A0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6.054,77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A76BC8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19.908,00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82BFDB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19.908,00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AB0E11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8.696,44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EB8357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143,60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BE8686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43,68</w:t>
            </w:r>
          </w:p>
        </w:tc>
      </w:tr>
      <w:tr w:rsidR="0002154C" w:rsidRPr="0002154C" w14:paraId="60B4D87E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7A169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3292 Premije osiguranja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CD8219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1.204,21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A60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10.618,00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726297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10.618,00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71E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563,14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4A9A94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46,80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DF4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5,30</w:t>
            </w:r>
          </w:p>
        </w:tc>
      </w:tr>
      <w:tr w:rsidR="0002154C" w:rsidRPr="0002154C" w14:paraId="2CBD07FB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14E23ABC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3293 Reprezentacija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5F3F36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10.443,28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ACE47C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32.200,00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6A3A8E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32.200,00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F9488E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13.431,73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055DD7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91DF14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41,71</w:t>
            </w:r>
          </w:p>
        </w:tc>
      </w:tr>
      <w:tr w:rsidR="0002154C" w:rsidRPr="0002154C" w14:paraId="7E95B91B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7F8F4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3294 Članarine i norme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046A18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2.338,88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84E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2.655,00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22CED0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2.655,00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FDD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2.515,96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8ACED1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107,60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1F8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94,76</w:t>
            </w:r>
          </w:p>
        </w:tc>
      </w:tr>
      <w:tr w:rsidR="0002154C" w:rsidRPr="0002154C" w14:paraId="33015B0E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50EB3CD0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3295 Pristojbe i naknade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B88E91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3.469,38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E62853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12.376,00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49DB75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12.376,00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18F8A8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5.405,60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AC1410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155,80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2E9161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43,68</w:t>
            </w:r>
          </w:p>
        </w:tc>
      </w:tr>
      <w:tr w:rsidR="0002154C" w:rsidRPr="0002154C" w14:paraId="5B7C9661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EF4BD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3299 Ostali nespomenuti rashodi poslovanja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6CFC98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3.485,05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3C3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7.963,00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BD9498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7.963,00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2B3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7.199,25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472C9E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206,60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AD3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90,41</w:t>
            </w:r>
          </w:p>
        </w:tc>
      </w:tr>
      <w:tr w:rsidR="0002154C" w:rsidRPr="0002154C" w14:paraId="45B741CE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7DEE8"/>
            <w:vAlign w:val="bottom"/>
            <w:hideMark/>
          </w:tcPr>
          <w:p w14:paraId="55A1F60F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34 Financijski rashodi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16980B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462,90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77C534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14.412,00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792F63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14.412,00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BFBD99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5.903,48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7D7789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1.275,30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03AAAC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40,96</w:t>
            </w:r>
          </w:p>
        </w:tc>
      </w:tr>
      <w:tr w:rsidR="0002154C" w:rsidRPr="0002154C" w14:paraId="7D95BA3E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14:paraId="226452AE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342 Kamate za primljene kredite i zajmove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7DC4A4B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462,90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BEEFF1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14.412,00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1ABC87F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14.412,00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DB8151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5.903,48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2A0F27A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1.275,30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271AA0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40,96</w:t>
            </w:r>
          </w:p>
        </w:tc>
      </w:tr>
      <w:tr w:rsidR="0002154C" w:rsidRPr="0002154C" w14:paraId="46C3AE13" w14:textId="77777777" w:rsidTr="0002154C">
        <w:trPr>
          <w:trHeight w:val="495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5A6108CC" w14:textId="77777777" w:rsidR="00C433C9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 xml:space="preserve">3423 Kamate za primljene kredite i zajmove od kreditnih i ostalih </w:t>
            </w:r>
          </w:p>
          <w:p w14:paraId="7416D096" w14:textId="31FEAA09" w:rsidR="0002154C" w:rsidRPr="0002154C" w:rsidRDefault="00C433C9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      </w:t>
            </w:r>
            <w:r w:rsidR="0002154C" w:rsidRPr="0002154C">
              <w:rPr>
                <w:rFonts w:ascii="Calibri" w:hAnsi="Calibri"/>
                <w:color w:val="000000"/>
                <w:sz w:val="18"/>
                <w:szCs w:val="18"/>
              </w:rPr>
              <w:t>institucija izvan javnog sektora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A4CF24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462,90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4F70A9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14.412,00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45D642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14.412,00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DD7C8D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5.903,48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A41B60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1.275,30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5F0178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40,96</w:t>
            </w:r>
          </w:p>
        </w:tc>
      </w:tr>
      <w:tr w:rsidR="0002154C" w:rsidRPr="0002154C" w14:paraId="161DDDC2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vAlign w:val="bottom"/>
            <w:hideMark/>
          </w:tcPr>
          <w:p w14:paraId="5BF9D76E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ACA909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398,17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034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10.618,00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2A0D87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10.618,00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6D9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581958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BF1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77D72E92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vAlign w:val="bottom"/>
            <w:hideMark/>
          </w:tcPr>
          <w:p w14:paraId="12D118B2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7AAD277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398,17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noWrap/>
            <w:vAlign w:val="bottom"/>
            <w:hideMark/>
          </w:tcPr>
          <w:p w14:paraId="5FD1343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10.618,00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77CDE0C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10.618,00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noWrap/>
            <w:vAlign w:val="bottom"/>
            <w:hideMark/>
          </w:tcPr>
          <w:p w14:paraId="3035EDB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1FEE60C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noWrap/>
            <w:vAlign w:val="bottom"/>
            <w:hideMark/>
          </w:tcPr>
          <w:p w14:paraId="1703621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2154C" w:rsidRPr="0002154C" w14:paraId="0C2A3CF7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2A0E9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C83C68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398,17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6E7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10.618,00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F910A1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10.618,00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00A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7AC0C4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617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246C9E39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4B718E72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 Rashodi za nabavu nefinancijske imovine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E72868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338.853,97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A9FBE1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3.835.723,00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D4C320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3.835.723,00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F28F15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457.413,77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0BE8D0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135,00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9357F9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11,93</w:t>
            </w:r>
          </w:p>
        </w:tc>
      </w:tr>
      <w:tr w:rsidR="0002154C" w:rsidRPr="0002154C" w14:paraId="751AD3D8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vAlign w:val="bottom"/>
            <w:hideMark/>
          </w:tcPr>
          <w:p w14:paraId="75FEA66D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7DEE8"/>
            <w:noWrap/>
            <w:vAlign w:val="bottom"/>
            <w:hideMark/>
          </w:tcPr>
          <w:p w14:paraId="4543ACD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2.156,75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504B917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7DEE8"/>
            <w:noWrap/>
            <w:vAlign w:val="bottom"/>
            <w:hideMark/>
          </w:tcPr>
          <w:p w14:paraId="7E198E9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35807F2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7DEE8"/>
            <w:noWrap/>
            <w:vAlign w:val="bottom"/>
            <w:hideMark/>
          </w:tcPr>
          <w:p w14:paraId="1D9A4FC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43F3A55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2154C" w:rsidRPr="0002154C" w14:paraId="175B3240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vAlign w:val="bottom"/>
            <w:hideMark/>
          </w:tcPr>
          <w:p w14:paraId="213DEC1F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412 Nematerijalna imovina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5F98356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2.156,75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noWrap/>
            <w:vAlign w:val="bottom"/>
            <w:hideMark/>
          </w:tcPr>
          <w:p w14:paraId="6D45AFF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257BB69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noWrap/>
            <w:vAlign w:val="bottom"/>
            <w:hideMark/>
          </w:tcPr>
          <w:p w14:paraId="1618E3C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53E6F4C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noWrap/>
            <w:vAlign w:val="bottom"/>
            <w:hideMark/>
          </w:tcPr>
          <w:p w14:paraId="5E48511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2154C" w:rsidRPr="0002154C" w14:paraId="0DD1C2FC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38DC1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4123 Licence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D81EA0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2.156,75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AC6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76E76F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6DC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43EE7F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420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7578457E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7DEE8"/>
            <w:vAlign w:val="bottom"/>
            <w:hideMark/>
          </w:tcPr>
          <w:p w14:paraId="4331EDE0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B7DEE8"/>
            <w:noWrap/>
            <w:vAlign w:val="bottom"/>
            <w:hideMark/>
          </w:tcPr>
          <w:p w14:paraId="6D7F8A4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30.021,89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7DEE8"/>
            <w:noWrap/>
            <w:vAlign w:val="bottom"/>
            <w:hideMark/>
          </w:tcPr>
          <w:p w14:paraId="50E8D92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196.698,00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B7DEE8"/>
            <w:noWrap/>
            <w:vAlign w:val="bottom"/>
            <w:hideMark/>
          </w:tcPr>
          <w:p w14:paraId="0FE0784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196.698,00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7DEE8"/>
            <w:noWrap/>
            <w:vAlign w:val="bottom"/>
            <w:hideMark/>
          </w:tcPr>
          <w:p w14:paraId="317308F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37.486,57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B7DEE8"/>
            <w:noWrap/>
            <w:vAlign w:val="bottom"/>
            <w:hideMark/>
          </w:tcPr>
          <w:p w14:paraId="252BEF6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124,90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7DEE8"/>
            <w:noWrap/>
            <w:vAlign w:val="bottom"/>
            <w:hideMark/>
          </w:tcPr>
          <w:p w14:paraId="218B3B8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19,06</w:t>
            </w:r>
          </w:p>
        </w:tc>
      </w:tr>
      <w:tr w:rsidR="0002154C" w:rsidRPr="0002154C" w14:paraId="3CE66B75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14:paraId="220EF899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422 Postrojenja i oprema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3363C8F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13.843,13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620AAB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80.387,00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7E419D7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80.387,00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642FBE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10.253,68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42C5C72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74,10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876B40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12,76</w:t>
            </w:r>
          </w:p>
        </w:tc>
      </w:tr>
      <w:tr w:rsidR="0002154C" w:rsidRPr="0002154C" w14:paraId="5B789EFC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6EB53055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4221 Uredska oprema i namještaj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80C1C0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5.429,50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39AEDD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45.370,00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9A4042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45.370,00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44080A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10.054,60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9950FE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185,20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6905E2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22,16</w:t>
            </w:r>
          </w:p>
        </w:tc>
      </w:tr>
      <w:tr w:rsidR="0002154C" w:rsidRPr="0002154C" w14:paraId="55D73189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818D1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4222 Komunikacijska oprema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35CD9A6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995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13.272,00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A053E8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13.272,00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830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A7C8AE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791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5DF7591F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3B9427DE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4223 Oprema za održavanje i zaštitu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DCA33F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8.413,63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139173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21.745,00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63BD26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21.745,00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00368D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199,08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DDA25D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4EAC79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0,92</w:t>
            </w:r>
          </w:p>
        </w:tc>
      </w:tr>
      <w:tr w:rsidR="0002154C" w:rsidRPr="0002154C" w14:paraId="78BD9850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14:paraId="7522EABA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423 Prijevozna sredstva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5793D40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16.178,76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D3B324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116.311,00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43044D5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116.311,00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717FF5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27.232,89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0EAC56D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168,30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48B8D6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23,41</w:t>
            </w:r>
          </w:p>
        </w:tc>
      </w:tr>
      <w:tr w:rsidR="0002154C" w:rsidRPr="0002154C" w14:paraId="572E4BD4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1C892FB9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4231 Prijevozna sredstva u cestovnom prometu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5F88D0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16.178,76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B46D73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116.311,00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7BBA0D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116.311,00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415361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27.232,89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CC9B54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168,30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13B335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23,41</w:t>
            </w:r>
          </w:p>
        </w:tc>
      </w:tr>
      <w:tr w:rsidR="0002154C" w:rsidRPr="0002154C" w14:paraId="35FFDD9F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vAlign w:val="bottom"/>
            <w:hideMark/>
          </w:tcPr>
          <w:p w14:paraId="261FE414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7DEE8"/>
            <w:noWrap/>
            <w:vAlign w:val="bottom"/>
            <w:hideMark/>
          </w:tcPr>
          <w:p w14:paraId="307D8CF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306.675,33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5B958DF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3.639.025,00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7DEE8"/>
            <w:noWrap/>
            <w:vAlign w:val="bottom"/>
            <w:hideMark/>
          </w:tcPr>
          <w:p w14:paraId="1373F2F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3.639.025,00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623D4E2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419.927,20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7DEE8"/>
            <w:noWrap/>
            <w:vAlign w:val="bottom"/>
            <w:hideMark/>
          </w:tcPr>
          <w:p w14:paraId="64EB957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136,90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3CD0EC2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11,54</w:t>
            </w:r>
          </w:p>
        </w:tc>
      </w:tr>
      <w:tr w:rsidR="0002154C" w:rsidRPr="0002154C" w14:paraId="48D72907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vAlign w:val="bottom"/>
            <w:hideMark/>
          </w:tcPr>
          <w:p w14:paraId="33E5ED9C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16D9532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306.675,33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noWrap/>
            <w:vAlign w:val="bottom"/>
            <w:hideMark/>
          </w:tcPr>
          <w:p w14:paraId="2A573AE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3.639.025,00</w:t>
            </w:r>
          </w:p>
        </w:tc>
        <w:tc>
          <w:tcPr>
            <w:tcW w:w="47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6F7BC44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3.639.025,00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noWrap/>
            <w:vAlign w:val="bottom"/>
            <w:hideMark/>
          </w:tcPr>
          <w:p w14:paraId="7A25A42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419.927,20</w:t>
            </w:r>
          </w:p>
        </w:tc>
        <w:tc>
          <w:tcPr>
            <w:tcW w:w="4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AEEF3"/>
            <w:noWrap/>
            <w:vAlign w:val="bottom"/>
            <w:hideMark/>
          </w:tcPr>
          <w:p w14:paraId="1116FCE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136,90</w:t>
            </w:r>
          </w:p>
        </w:tc>
        <w:tc>
          <w:tcPr>
            <w:tcW w:w="56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AEEF3"/>
            <w:noWrap/>
            <w:vAlign w:val="bottom"/>
            <w:hideMark/>
          </w:tcPr>
          <w:p w14:paraId="39F00AB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11,54</w:t>
            </w:r>
          </w:p>
        </w:tc>
      </w:tr>
      <w:tr w:rsidR="0002154C" w:rsidRPr="0002154C" w14:paraId="5DB65953" w14:textId="77777777" w:rsidTr="0002154C">
        <w:trPr>
          <w:trHeight w:val="300"/>
        </w:trPr>
        <w:tc>
          <w:tcPr>
            <w:tcW w:w="2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DCDA2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0D67C6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306.675,33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FF8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3.639.025,00</w:t>
            </w:r>
          </w:p>
        </w:tc>
        <w:tc>
          <w:tcPr>
            <w:tcW w:w="47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04E361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3.639.025,00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40E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419.927,20</w:t>
            </w:r>
          </w:p>
        </w:tc>
        <w:tc>
          <w:tcPr>
            <w:tcW w:w="4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D8C1C3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136,90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EBA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11,54</w:t>
            </w:r>
          </w:p>
        </w:tc>
      </w:tr>
      <w:tr w:rsidR="0002154C" w:rsidRPr="0002154C" w14:paraId="734BD240" w14:textId="77777777" w:rsidTr="0002154C">
        <w:trPr>
          <w:trHeight w:val="300"/>
        </w:trPr>
        <w:tc>
          <w:tcPr>
            <w:tcW w:w="2082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378DBD3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Ukupni zbroj</w:t>
            </w:r>
          </w:p>
        </w:tc>
        <w:tc>
          <w:tcPr>
            <w:tcW w:w="470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39FB3D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5.285.322,09</w:t>
            </w:r>
          </w:p>
        </w:tc>
        <w:tc>
          <w:tcPr>
            <w:tcW w:w="470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30C29A3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470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4A4084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470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13DE57C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5.432.570,91</w:t>
            </w:r>
          </w:p>
        </w:tc>
        <w:tc>
          <w:tcPr>
            <w:tcW w:w="477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3DA017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561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6D766D4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37,68</w:t>
            </w:r>
          </w:p>
        </w:tc>
      </w:tr>
    </w:tbl>
    <w:p w14:paraId="2B0A3E31" w14:textId="77777777" w:rsidR="00D86DDC" w:rsidRPr="00D86DDC" w:rsidRDefault="00D86DDC" w:rsidP="00D86DDC">
      <w:pPr>
        <w:widowControl/>
        <w:autoSpaceDE/>
        <w:autoSpaceDN/>
        <w:adjustRightInd/>
        <w:jc w:val="left"/>
        <w:rPr>
          <w:rFonts w:cs="Arial"/>
          <w:b/>
          <w:bCs/>
          <w:color w:val="000000"/>
          <w:sz w:val="18"/>
          <w:szCs w:val="18"/>
        </w:rPr>
      </w:pPr>
    </w:p>
    <w:p w14:paraId="68BFDFA6" w14:textId="77777777" w:rsidR="00D86DDC" w:rsidRDefault="00D86DDC">
      <w:pPr>
        <w:widowControl/>
        <w:autoSpaceDE/>
        <w:autoSpaceDN/>
        <w:adjustRightInd/>
        <w:spacing w:after="160" w:line="259" w:lineRule="auto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18B44AAC" w14:textId="1781C71A" w:rsidR="003E687E" w:rsidRDefault="003E687E" w:rsidP="003E687E">
      <w:pPr>
        <w:spacing w:line="276" w:lineRule="auto"/>
        <w:rPr>
          <w:rFonts w:cs="Arial"/>
          <w:color w:val="000000" w:themeColor="text1"/>
        </w:rPr>
      </w:pPr>
      <w:r w:rsidRPr="003C6EE2">
        <w:rPr>
          <w:rFonts w:cs="Arial"/>
          <w:color w:val="000000" w:themeColor="text1"/>
        </w:rPr>
        <w:t xml:space="preserve">Tablica 3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88"/>
        <w:gridCol w:w="1396"/>
        <w:gridCol w:w="1396"/>
        <w:gridCol w:w="1396"/>
        <w:gridCol w:w="1396"/>
        <w:gridCol w:w="1396"/>
        <w:gridCol w:w="1402"/>
      </w:tblGrid>
      <w:tr w:rsidR="0002154C" w:rsidRPr="0002154C" w14:paraId="23F5166B" w14:textId="77777777" w:rsidTr="0002154C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0EC4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1.2. RAČUN PRIHODA I RASHODA</w:t>
            </w:r>
          </w:p>
        </w:tc>
      </w:tr>
      <w:tr w:rsidR="0002154C" w:rsidRPr="0002154C" w14:paraId="60A8CE7A" w14:textId="77777777" w:rsidTr="00D61181">
        <w:trPr>
          <w:trHeight w:val="86"/>
        </w:trPr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CA4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FE7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AC7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228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71F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807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6BD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4C66FF0C" w14:textId="77777777" w:rsidTr="0002154C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6012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1.2.2. IZVJEŠTAJ O PRIHODIMA I RASHODIMA PREMA IZVORIMA FINANCIRANJA</w:t>
            </w:r>
          </w:p>
        </w:tc>
      </w:tr>
      <w:tr w:rsidR="0002154C" w:rsidRPr="0002154C" w14:paraId="1FEBB1BF" w14:textId="77777777" w:rsidTr="00D61181">
        <w:trPr>
          <w:trHeight w:val="86"/>
        </w:trPr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34CF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B4B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5B7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2BB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A6C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B3E8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B25F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3F9E4A59" w14:textId="77777777" w:rsidTr="0002154C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EB76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PRIHODI PREMA IZVORIMA FINANCIRANJA</w:t>
            </w:r>
          </w:p>
        </w:tc>
      </w:tr>
      <w:tr w:rsidR="0002154C" w:rsidRPr="0002154C" w14:paraId="0776654D" w14:textId="77777777" w:rsidTr="0002154C">
        <w:trPr>
          <w:trHeight w:val="240"/>
        </w:trPr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71C1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629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E6F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513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E55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2AE6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91B3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6ED1692C" w14:textId="77777777" w:rsidTr="0002154C">
        <w:trPr>
          <w:trHeight w:val="960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418FDA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DC8093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IZVRŠENJE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 xml:space="preserve">01.01-30.06.2022.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E15A3F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IZVORNI PLAN ILI REBALANS ZA 2023.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F40550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TEKUĆI                           PLAN ZA 2023.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20A079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IZVRŠENJE </w:t>
            </w: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01.01-30.06.2023. EUR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5D1175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INDEKS 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1798AD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02154C" w:rsidRPr="0002154C" w14:paraId="2D093A52" w14:textId="77777777" w:rsidTr="0002154C">
        <w:trPr>
          <w:trHeight w:val="240"/>
        </w:trPr>
        <w:tc>
          <w:tcPr>
            <w:tcW w:w="2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72BCA6D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A5A12B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7C8D241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DAE5AE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4E1190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A899FE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 (4/1)*100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CC7EE2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 (4/3)*100</w:t>
            </w:r>
          </w:p>
        </w:tc>
      </w:tr>
      <w:tr w:rsidR="0002154C" w:rsidRPr="0002154C" w14:paraId="3121E789" w14:textId="77777777" w:rsidTr="0002154C">
        <w:trPr>
          <w:trHeight w:val="300"/>
        </w:trPr>
        <w:tc>
          <w:tcPr>
            <w:tcW w:w="21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560F2CE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RAZDJEL 185 DRŽAVNI URED ZA REVIZIJU</w:t>
            </w:r>
          </w:p>
        </w:tc>
        <w:tc>
          <w:tcPr>
            <w:tcW w:w="47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1F3BC22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5.185.100,61</w:t>
            </w:r>
          </w:p>
        </w:tc>
        <w:tc>
          <w:tcPr>
            <w:tcW w:w="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529489F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14.319.137,00</w:t>
            </w:r>
          </w:p>
        </w:tc>
        <w:tc>
          <w:tcPr>
            <w:tcW w:w="47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277DB83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14.319.137,00</w:t>
            </w:r>
          </w:p>
        </w:tc>
        <w:tc>
          <w:tcPr>
            <w:tcW w:w="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1D11475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5.530.286,71</w:t>
            </w:r>
          </w:p>
        </w:tc>
        <w:tc>
          <w:tcPr>
            <w:tcW w:w="47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3AEA85E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106,70</w:t>
            </w:r>
          </w:p>
        </w:tc>
        <w:tc>
          <w:tcPr>
            <w:tcW w:w="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5220030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38,62</w:t>
            </w:r>
          </w:p>
        </w:tc>
      </w:tr>
      <w:tr w:rsidR="0002154C" w:rsidRPr="0002154C" w14:paraId="03BAE4FB" w14:textId="77777777" w:rsidTr="0002154C">
        <w:trPr>
          <w:trHeight w:val="300"/>
        </w:trPr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3620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 Opći prihodi i primici</w:t>
            </w:r>
          </w:p>
        </w:tc>
        <w:tc>
          <w:tcPr>
            <w:tcW w:w="47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B75752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4.424.654,14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C84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13.288.679,00</w:t>
            </w:r>
          </w:p>
        </w:tc>
        <w:tc>
          <w:tcPr>
            <w:tcW w:w="47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8E05D8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13.288.679,00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0F2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5.070.128,43</w:t>
            </w:r>
          </w:p>
        </w:tc>
        <w:tc>
          <w:tcPr>
            <w:tcW w:w="47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CBBA9F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114,60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A3C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38,15</w:t>
            </w:r>
          </w:p>
        </w:tc>
      </w:tr>
      <w:tr w:rsidR="0002154C" w:rsidRPr="0002154C" w14:paraId="14C67A93" w14:textId="77777777" w:rsidTr="0002154C">
        <w:trPr>
          <w:trHeight w:val="300"/>
        </w:trPr>
        <w:tc>
          <w:tcPr>
            <w:tcW w:w="21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3EF17B3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IZVOR 11 OPĆI PRIHODI I PRIMICI</w:t>
            </w:r>
          </w:p>
        </w:tc>
        <w:tc>
          <w:tcPr>
            <w:tcW w:w="47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66CEF7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4.424.654,14</w:t>
            </w:r>
          </w:p>
        </w:tc>
        <w:tc>
          <w:tcPr>
            <w:tcW w:w="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C2A8B7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13.288.679,00</w:t>
            </w:r>
          </w:p>
        </w:tc>
        <w:tc>
          <w:tcPr>
            <w:tcW w:w="47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735C7D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13.288.679,00</w:t>
            </w:r>
          </w:p>
        </w:tc>
        <w:tc>
          <w:tcPr>
            <w:tcW w:w="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53FB0D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5.070.128,43</w:t>
            </w:r>
          </w:p>
        </w:tc>
        <w:tc>
          <w:tcPr>
            <w:tcW w:w="47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76FCAA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114,60</w:t>
            </w:r>
          </w:p>
        </w:tc>
        <w:tc>
          <w:tcPr>
            <w:tcW w:w="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6BE120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38,15</w:t>
            </w:r>
          </w:p>
        </w:tc>
      </w:tr>
      <w:tr w:rsidR="0002154C" w:rsidRPr="0002154C" w14:paraId="4F163690" w14:textId="77777777" w:rsidTr="0002154C">
        <w:trPr>
          <w:trHeight w:val="300"/>
        </w:trPr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1FB0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 Vlastiti prihodi</w:t>
            </w:r>
          </w:p>
        </w:tc>
        <w:tc>
          <w:tcPr>
            <w:tcW w:w="47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F2164F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489.039,09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991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112.251,00</w:t>
            </w:r>
          </w:p>
        </w:tc>
        <w:tc>
          <w:tcPr>
            <w:tcW w:w="47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03FE6E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112.251,00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830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102.361,10</w:t>
            </w:r>
          </w:p>
        </w:tc>
        <w:tc>
          <w:tcPr>
            <w:tcW w:w="47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C73B6D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20,90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80F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91,19</w:t>
            </w:r>
          </w:p>
        </w:tc>
      </w:tr>
      <w:tr w:rsidR="0002154C" w:rsidRPr="0002154C" w14:paraId="5EA71768" w14:textId="77777777" w:rsidTr="0002154C">
        <w:trPr>
          <w:trHeight w:val="300"/>
        </w:trPr>
        <w:tc>
          <w:tcPr>
            <w:tcW w:w="21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238052F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IZVOR 31 VLASTITI PRIHODI</w:t>
            </w:r>
          </w:p>
        </w:tc>
        <w:tc>
          <w:tcPr>
            <w:tcW w:w="47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A2BB1D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489.039,09</w:t>
            </w:r>
          </w:p>
        </w:tc>
        <w:tc>
          <w:tcPr>
            <w:tcW w:w="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9536AA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112.251,00</w:t>
            </w:r>
          </w:p>
        </w:tc>
        <w:tc>
          <w:tcPr>
            <w:tcW w:w="47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02FCD8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112.251,00</w:t>
            </w:r>
          </w:p>
        </w:tc>
        <w:tc>
          <w:tcPr>
            <w:tcW w:w="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4EBAE3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102.361,10</w:t>
            </w:r>
          </w:p>
        </w:tc>
        <w:tc>
          <w:tcPr>
            <w:tcW w:w="47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0878AF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20,90</w:t>
            </w:r>
          </w:p>
        </w:tc>
        <w:tc>
          <w:tcPr>
            <w:tcW w:w="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AEAD98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91,19</w:t>
            </w:r>
          </w:p>
        </w:tc>
      </w:tr>
      <w:tr w:rsidR="0002154C" w:rsidRPr="0002154C" w14:paraId="7D380D87" w14:textId="77777777" w:rsidTr="0002154C">
        <w:trPr>
          <w:trHeight w:val="300"/>
        </w:trPr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E00D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 Pomoći</w:t>
            </w:r>
          </w:p>
        </w:tc>
        <w:tc>
          <w:tcPr>
            <w:tcW w:w="47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655227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271.407,38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537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918.207,00</w:t>
            </w:r>
          </w:p>
        </w:tc>
        <w:tc>
          <w:tcPr>
            <w:tcW w:w="47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8E902B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918.207,00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4F0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357.797,18</w:t>
            </w:r>
          </w:p>
        </w:tc>
        <w:tc>
          <w:tcPr>
            <w:tcW w:w="47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BFA0D7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131,80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ADF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38,97</w:t>
            </w:r>
          </w:p>
        </w:tc>
      </w:tr>
      <w:tr w:rsidR="0002154C" w:rsidRPr="0002154C" w14:paraId="44B75788" w14:textId="77777777" w:rsidTr="0002154C">
        <w:trPr>
          <w:trHeight w:val="300"/>
        </w:trPr>
        <w:tc>
          <w:tcPr>
            <w:tcW w:w="21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A6BF48B" w14:textId="77777777" w:rsidR="0002154C" w:rsidRPr="0002154C" w:rsidRDefault="0002154C" w:rsidP="0002154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IZVOR 5761 FOND SOLIDARNOSTI EU - potres ožujak 2020.</w:t>
            </w:r>
          </w:p>
        </w:tc>
        <w:tc>
          <w:tcPr>
            <w:tcW w:w="47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A91661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271.407,38</w:t>
            </w:r>
          </w:p>
        </w:tc>
        <w:tc>
          <w:tcPr>
            <w:tcW w:w="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7075CC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918.207,00</w:t>
            </w:r>
          </w:p>
        </w:tc>
        <w:tc>
          <w:tcPr>
            <w:tcW w:w="47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07EE38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918.207,00</w:t>
            </w:r>
          </w:p>
        </w:tc>
        <w:tc>
          <w:tcPr>
            <w:tcW w:w="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EEBBCD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357.797,18</w:t>
            </w:r>
          </w:p>
        </w:tc>
        <w:tc>
          <w:tcPr>
            <w:tcW w:w="47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4B73A5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131,80</w:t>
            </w:r>
          </w:p>
        </w:tc>
        <w:tc>
          <w:tcPr>
            <w:tcW w:w="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445616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color w:val="000000"/>
                <w:sz w:val="18"/>
                <w:szCs w:val="18"/>
              </w:rPr>
              <w:t>38,97</w:t>
            </w:r>
          </w:p>
        </w:tc>
      </w:tr>
      <w:tr w:rsidR="0002154C" w:rsidRPr="0002154C" w14:paraId="5D09E192" w14:textId="77777777" w:rsidTr="0002154C">
        <w:trPr>
          <w:trHeight w:val="300"/>
        </w:trPr>
        <w:tc>
          <w:tcPr>
            <w:tcW w:w="2124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48A5DA7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Ukupni zbroj</w:t>
            </w:r>
          </w:p>
        </w:tc>
        <w:tc>
          <w:tcPr>
            <w:tcW w:w="479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DB9F95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5.185.100,61</w:t>
            </w:r>
          </w:p>
        </w:tc>
        <w:tc>
          <w:tcPr>
            <w:tcW w:w="479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029E713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14.319.137,00</w:t>
            </w:r>
          </w:p>
        </w:tc>
        <w:tc>
          <w:tcPr>
            <w:tcW w:w="479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36A2E30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14.319.137,00</w:t>
            </w:r>
          </w:p>
        </w:tc>
        <w:tc>
          <w:tcPr>
            <w:tcW w:w="479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6B7AADC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5.530.286,71</w:t>
            </w:r>
          </w:p>
        </w:tc>
        <w:tc>
          <w:tcPr>
            <w:tcW w:w="479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C6A4B1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106,70</w:t>
            </w:r>
          </w:p>
        </w:tc>
        <w:tc>
          <w:tcPr>
            <w:tcW w:w="479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74CFA56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38,62</w:t>
            </w:r>
          </w:p>
        </w:tc>
      </w:tr>
    </w:tbl>
    <w:p w14:paraId="549D05BE" w14:textId="7B2283AB" w:rsidR="007F1ABC" w:rsidRDefault="007F1ABC" w:rsidP="003E687E">
      <w:pPr>
        <w:spacing w:line="276" w:lineRule="auto"/>
        <w:rPr>
          <w:rFonts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62"/>
        <w:gridCol w:w="1451"/>
        <w:gridCol w:w="1507"/>
        <w:gridCol w:w="1507"/>
        <w:gridCol w:w="1451"/>
        <w:gridCol w:w="1396"/>
        <w:gridCol w:w="1396"/>
      </w:tblGrid>
      <w:tr w:rsidR="007F1ABC" w:rsidRPr="007F1ABC" w14:paraId="31C0925A" w14:textId="77777777" w:rsidTr="007F1AB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CDE6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cs="Arial"/>
                <w:b/>
                <w:bCs/>
                <w:color w:val="000000"/>
                <w:sz w:val="18"/>
                <w:szCs w:val="18"/>
              </w:rPr>
              <w:t>RASHODI PREMA IZVORIMA FINANCIRANJA</w:t>
            </w:r>
          </w:p>
        </w:tc>
      </w:tr>
      <w:tr w:rsidR="007F1ABC" w:rsidRPr="007F1ABC" w14:paraId="265A5492" w14:textId="77777777" w:rsidTr="007F1ABC">
        <w:trPr>
          <w:trHeight w:val="240"/>
        </w:trPr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429A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DD1C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3E28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6D36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7194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271C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500A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ABC" w:rsidRPr="007F1ABC" w14:paraId="2B8445D1" w14:textId="77777777" w:rsidTr="007F1ABC">
        <w:trPr>
          <w:trHeight w:val="960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26B1CB5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2394A63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IZVRŠENJE</w:t>
            </w: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 xml:space="preserve">01.01-30.06.2022. </w:t>
            </w: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AE76A8B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IZVORNI PLAN ILI REBALANS ZA 2023. </w:t>
            </w: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AEF2146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TEKUĆI                           PLAN ZA 2023. </w:t>
            </w: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2DC5EE9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IZVRŠENJE </w:t>
            </w: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01.01-30.06.2023. EUR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B31DA5F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INDEKS 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2936486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7F1ABC" w:rsidRPr="007F1ABC" w14:paraId="4F8D512C" w14:textId="77777777" w:rsidTr="007F1ABC">
        <w:trPr>
          <w:trHeight w:val="345"/>
        </w:trPr>
        <w:tc>
          <w:tcPr>
            <w:tcW w:w="2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0C77344D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41E2B7D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2477391F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0CD72485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4A0B605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14739E08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 (4/1)*100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28265EF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 (4/3)*100</w:t>
            </w:r>
          </w:p>
        </w:tc>
      </w:tr>
      <w:tr w:rsidR="007F1ABC" w:rsidRPr="007F1ABC" w14:paraId="24FB718D" w14:textId="77777777" w:rsidTr="007F1ABC">
        <w:trPr>
          <w:trHeight w:val="300"/>
        </w:trPr>
        <w:tc>
          <w:tcPr>
            <w:tcW w:w="20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7B6FEC88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RAZDJEL 185 DRŽAVNI URED ZA REVIZIJU</w:t>
            </w:r>
          </w:p>
        </w:tc>
        <w:tc>
          <w:tcPr>
            <w:tcW w:w="498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0FD21EA9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5.285.322,09</w:t>
            </w:r>
          </w:p>
        </w:tc>
        <w:tc>
          <w:tcPr>
            <w:tcW w:w="51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0AEEF99D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51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0CEAA2B4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49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20707C61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5.432.570,91</w:t>
            </w:r>
          </w:p>
        </w:tc>
        <w:tc>
          <w:tcPr>
            <w:tcW w:w="47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1660566E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08E06E7D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37,68</w:t>
            </w:r>
          </w:p>
        </w:tc>
      </w:tr>
      <w:tr w:rsidR="007F1ABC" w:rsidRPr="007F1ABC" w14:paraId="7C709A96" w14:textId="77777777" w:rsidTr="00D61181">
        <w:trPr>
          <w:trHeight w:val="126"/>
        </w:trPr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F447" w14:textId="77777777" w:rsidR="007F1ABC" w:rsidRPr="007F1ABC" w:rsidRDefault="007F1ABC" w:rsidP="007F1ABC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 Opći prihodi i primici</w:t>
            </w:r>
          </w:p>
        </w:tc>
        <w:tc>
          <w:tcPr>
            <w:tcW w:w="498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98B41A0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4.424.654,14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7E4C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13.288.679,00</w:t>
            </w:r>
          </w:p>
        </w:tc>
        <w:tc>
          <w:tcPr>
            <w:tcW w:w="51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D372E75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13.288.679,00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1A4B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5.070.128,43</w:t>
            </w:r>
          </w:p>
        </w:tc>
        <w:tc>
          <w:tcPr>
            <w:tcW w:w="47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7437648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114,60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6320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38,15</w:t>
            </w:r>
          </w:p>
        </w:tc>
      </w:tr>
      <w:tr w:rsidR="007F1ABC" w:rsidRPr="007F1ABC" w14:paraId="208F32C1" w14:textId="77777777" w:rsidTr="007F1ABC">
        <w:trPr>
          <w:trHeight w:val="300"/>
        </w:trPr>
        <w:tc>
          <w:tcPr>
            <w:tcW w:w="20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6E77624" w14:textId="77777777" w:rsidR="007F1ABC" w:rsidRPr="007F1ABC" w:rsidRDefault="007F1ABC" w:rsidP="007F1AB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IZVOR 11 OPĆI PRIHODI I PRIMICI</w:t>
            </w:r>
          </w:p>
        </w:tc>
        <w:tc>
          <w:tcPr>
            <w:tcW w:w="498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8ABEA1D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4.424.654,14</w:t>
            </w:r>
          </w:p>
        </w:tc>
        <w:tc>
          <w:tcPr>
            <w:tcW w:w="51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6414CB9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13.288.679,00</w:t>
            </w:r>
          </w:p>
        </w:tc>
        <w:tc>
          <w:tcPr>
            <w:tcW w:w="51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2294E84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13.288.679,00</w:t>
            </w:r>
          </w:p>
        </w:tc>
        <w:tc>
          <w:tcPr>
            <w:tcW w:w="49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5B5FACA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5.070.128,43</w:t>
            </w:r>
          </w:p>
        </w:tc>
        <w:tc>
          <w:tcPr>
            <w:tcW w:w="47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162F33E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114,60</w:t>
            </w:r>
          </w:p>
        </w:tc>
        <w:tc>
          <w:tcPr>
            <w:tcW w:w="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C1A85E2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38,15</w:t>
            </w:r>
          </w:p>
        </w:tc>
      </w:tr>
      <w:tr w:rsidR="007F1ABC" w:rsidRPr="007F1ABC" w14:paraId="2FF59560" w14:textId="77777777" w:rsidTr="00D61181">
        <w:trPr>
          <w:trHeight w:val="148"/>
        </w:trPr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CF23" w14:textId="77777777" w:rsidR="007F1ABC" w:rsidRPr="007F1ABC" w:rsidRDefault="007F1ABC" w:rsidP="007F1ABC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 Vlastiti prihodi</w:t>
            </w:r>
          </w:p>
        </w:tc>
        <w:tc>
          <w:tcPr>
            <w:tcW w:w="498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E092DF5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589.260,57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EB58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209.102,00</w:t>
            </w:r>
          </w:p>
        </w:tc>
        <w:tc>
          <w:tcPr>
            <w:tcW w:w="51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635528D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209.102,00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E549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4.645,30</w:t>
            </w:r>
          </w:p>
        </w:tc>
        <w:tc>
          <w:tcPr>
            <w:tcW w:w="47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1E4DC56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BFA2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2,22</w:t>
            </w:r>
          </w:p>
        </w:tc>
      </w:tr>
      <w:tr w:rsidR="007F1ABC" w:rsidRPr="007F1ABC" w14:paraId="342309F0" w14:textId="77777777" w:rsidTr="007F1ABC">
        <w:trPr>
          <w:trHeight w:val="300"/>
        </w:trPr>
        <w:tc>
          <w:tcPr>
            <w:tcW w:w="20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B705073" w14:textId="77777777" w:rsidR="007F1ABC" w:rsidRPr="007F1ABC" w:rsidRDefault="007F1ABC" w:rsidP="007F1AB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IZVOR 31 VLASTITI PRIHODI</w:t>
            </w:r>
          </w:p>
        </w:tc>
        <w:tc>
          <w:tcPr>
            <w:tcW w:w="498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ECB3E0C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589.260,57</w:t>
            </w:r>
          </w:p>
        </w:tc>
        <w:tc>
          <w:tcPr>
            <w:tcW w:w="51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61805FB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209.102,00</w:t>
            </w:r>
          </w:p>
        </w:tc>
        <w:tc>
          <w:tcPr>
            <w:tcW w:w="51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2AA7429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209.102,00</w:t>
            </w:r>
          </w:p>
        </w:tc>
        <w:tc>
          <w:tcPr>
            <w:tcW w:w="49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036F3AE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4.645,30</w:t>
            </w:r>
          </w:p>
        </w:tc>
        <w:tc>
          <w:tcPr>
            <w:tcW w:w="47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72F292F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74BDB25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2,22</w:t>
            </w:r>
          </w:p>
        </w:tc>
      </w:tr>
      <w:tr w:rsidR="007F1ABC" w:rsidRPr="007F1ABC" w14:paraId="5C0A9147" w14:textId="77777777" w:rsidTr="00D61181">
        <w:trPr>
          <w:trHeight w:val="170"/>
        </w:trPr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FA74" w14:textId="77777777" w:rsidR="007F1ABC" w:rsidRPr="007F1ABC" w:rsidRDefault="007F1ABC" w:rsidP="007F1ABC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 Pomoći</w:t>
            </w:r>
          </w:p>
        </w:tc>
        <w:tc>
          <w:tcPr>
            <w:tcW w:w="498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AD50BCF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271.407,38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CB9C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918.207,00</w:t>
            </w:r>
          </w:p>
        </w:tc>
        <w:tc>
          <w:tcPr>
            <w:tcW w:w="51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9B9D71F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918.207,00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839F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357.797,18</w:t>
            </w:r>
          </w:p>
        </w:tc>
        <w:tc>
          <w:tcPr>
            <w:tcW w:w="47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58C4FEA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131,80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A617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38,97</w:t>
            </w:r>
          </w:p>
        </w:tc>
      </w:tr>
      <w:tr w:rsidR="007F1ABC" w:rsidRPr="007F1ABC" w14:paraId="19031BEE" w14:textId="77777777" w:rsidTr="007F1ABC">
        <w:trPr>
          <w:trHeight w:val="300"/>
        </w:trPr>
        <w:tc>
          <w:tcPr>
            <w:tcW w:w="20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C74313A" w14:textId="77777777" w:rsidR="007F1ABC" w:rsidRPr="007F1ABC" w:rsidRDefault="007F1ABC" w:rsidP="007F1AB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IZVOR 5761 FOND SOLIDARNOSTI EU - potres ožujak 2020.</w:t>
            </w:r>
          </w:p>
        </w:tc>
        <w:tc>
          <w:tcPr>
            <w:tcW w:w="498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0914F25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271.407,38</w:t>
            </w:r>
          </w:p>
        </w:tc>
        <w:tc>
          <w:tcPr>
            <w:tcW w:w="51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1960672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918.207,00</w:t>
            </w:r>
          </w:p>
        </w:tc>
        <w:tc>
          <w:tcPr>
            <w:tcW w:w="51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382329D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918.207,00</w:t>
            </w:r>
          </w:p>
        </w:tc>
        <w:tc>
          <w:tcPr>
            <w:tcW w:w="49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4DC536E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357.797,18</w:t>
            </w:r>
          </w:p>
        </w:tc>
        <w:tc>
          <w:tcPr>
            <w:tcW w:w="47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37964C1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131,80</w:t>
            </w:r>
          </w:p>
        </w:tc>
        <w:tc>
          <w:tcPr>
            <w:tcW w:w="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31ADFA8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38,97</w:t>
            </w:r>
          </w:p>
        </w:tc>
      </w:tr>
      <w:tr w:rsidR="007F1ABC" w:rsidRPr="007F1ABC" w14:paraId="184376F3" w14:textId="77777777" w:rsidTr="00D61181">
        <w:trPr>
          <w:trHeight w:val="131"/>
        </w:trPr>
        <w:tc>
          <w:tcPr>
            <w:tcW w:w="2012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27534285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Ukupni zbroj</w:t>
            </w:r>
          </w:p>
        </w:tc>
        <w:tc>
          <w:tcPr>
            <w:tcW w:w="498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02B9F9D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5.285.322,09</w:t>
            </w:r>
          </w:p>
        </w:tc>
        <w:tc>
          <w:tcPr>
            <w:tcW w:w="517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649725D2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517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592D6B0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498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3D42D8E8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5.432.570,91</w:t>
            </w:r>
          </w:p>
        </w:tc>
        <w:tc>
          <w:tcPr>
            <w:tcW w:w="479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888143F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479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277D982B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37,68</w:t>
            </w:r>
          </w:p>
        </w:tc>
      </w:tr>
    </w:tbl>
    <w:p w14:paraId="2BFD142B" w14:textId="736616D1" w:rsidR="00D86DDC" w:rsidRDefault="00D86DDC" w:rsidP="003E687E">
      <w:pPr>
        <w:spacing w:line="276" w:lineRule="auto"/>
        <w:rPr>
          <w:rFonts w:cs="Arial"/>
        </w:rPr>
      </w:pPr>
    </w:p>
    <w:p w14:paraId="5F4F4604" w14:textId="6B0DFABD" w:rsidR="003E687E" w:rsidRDefault="003E687E" w:rsidP="00F82794">
      <w:pPr>
        <w:widowControl/>
        <w:autoSpaceDE/>
        <w:autoSpaceDN/>
        <w:adjustRightInd/>
        <w:spacing w:after="160" w:line="259" w:lineRule="auto"/>
        <w:jc w:val="left"/>
        <w:rPr>
          <w:rFonts w:cs="Arial"/>
          <w:color w:val="000000" w:themeColor="text1"/>
        </w:rPr>
      </w:pPr>
      <w:r w:rsidRPr="003E687E">
        <w:rPr>
          <w:rFonts w:cs="Arial"/>
          <w:color w:val="000000" w:themeColor="text1"/>
        </w:rPr>
        <w:t xml:space="preserve">Tablica 4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88"/>
        <w:gridCol w:w="1396"/>
        <w:gridCol w:w="1396"/>
        <w:gridCol w:w="1396"/>
        <w:gridCol w:w="1396"/>
        <w:gridCol w:w="1396"/>
        <w:gridCol w:w="1402"/>
      </w:tblGrid>
      <w:tr w:rsidR="007F1ABC" w:rsidRPr="007F1ABC" w14:paraId="5059CCC5" w14:textId="77777777" w:rsidTr="007F1ABC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7C47D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cs="Arial"/>
                <w:b/>
                <w:bCs/>
                <w:color w:val="000000"/>
                <w:sz w:val="18"/>
                <w:szCs w:val="18"/>
              </w:rPr>
              <w:t>1.2. RAČUN PRIHODA I RASHODA</w:t>
            </w:r>
          </w:p>
        </w:tc>
      </w:tr>
      <w:tr w:rsidR="007F1ABC" w:rsidRPr="007F1ABC" w14:paraId="689E862C" w14:textId="77777777" w:rsidTr="007F1ABC">
        <w:trPr>
          <w:trHeight w:val="240"/>
        </w:trPr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187D9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540FC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AE362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1E64A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C8DDC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AF6C2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92F0B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ABC" w:rsidRPr="007F1ABC" w14:paraId="7BEBED5F" w14:textId="77777777" w:rsidTr="007F1ABC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E2346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cs="Arial"/>
                <w:b/>
                <w:bCs/>
                <w:color w:val="000000"/>
                <w:sz w:val="18"/>
                <w:szCs w:val="18"/>
              </w:rPr>
              <w:t>1.2.3. IZVJEŠTAJ O RASHODIMA PREMA FUNKCIJSKOJ KLASIFIKACIJI</w:t>
            </w:r>
          </w:p>
        </w:tc>
      </w:tr>
      <w:tr w:rsidR="007F1ABC" w:rsidRPr="007F1ABC" w14:paraId="0E4DA4E1" w14:textId="77777777" w:rsidTr="007F1ABC">
        <w:trPr>
          <w:trHeight w:val="240"/>
        </w:trPr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E5784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01C1F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3C1CF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ECEEF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56B2A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CD08B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95DBC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ABC" w:rsidRPr="007F1ABC" w14:paraId="0F5B547A" w14:textId="77777777" w:rsidTr="007F1ABC">
        <w:trPr>
          <w:trHeight w:val="960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3BB0C53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9D4BC05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IZVRŠENJE</w:t>
            </w: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 xml:space="preserve">01.01-30.06.2022. </w:t>
            </w: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13DECED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IZVORNI PLAN ILI REBALANS ZA 2023. </w:t>
            </w: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FB70329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TEKUĆI                           PLAN ZA 2023. </w:t>
            </w: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B01052C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IZVRŠENJE </w:t>
            </w: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01.01-30.06.2023. EUR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1306704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INDEKS 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8ECCC02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7F1ABC" w:rsidRPr="007F1ABC" w14:paraId="08BD834D" w14:textId="77777777" w:rsidTr="007F1ABC">
        <w:trPr>
          <w:trHeight w:val="240"/>
        </w:trPr>
        <w:tc>
          <w:tcPr>
            <w:tcW w:w="2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DC48770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78CB997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2CB8B0E5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4670F44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0C187E2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B86BD52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 (4/1)*100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B19D2EC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 (4/3)*100</w:t>
            </w:r>
          </w:p>
        </w:tc>
      </w:tr>
      <w:tr w:rsidR="007F1ABC" w:rsidRPr="007F1ABC" w14:paraId="5C00EF39" w14:textId="77777777" w:rsidTr="007F1ABC">
        <w:trPr>
          <w:trHeight w:val="300"/>
        </w:trPr>
        <w:tc>
          <w:tcPr>
            <w:tcW w:w="21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6962D319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01 Opće i javne usluge</w:t>
            </w:r>
          </w:p>
        </w:tc>
        <w:tc>
          <w:tcPr>
            <w:tcW w:w="47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0F4953C8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5.285.322,09</w:t>
            </w:r>
          </w:p>
        </w:tc>
        <w:tc>
          <w:tcPr>
            <w:tcW w:w="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0B1FD023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47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5E809632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060EE0F2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5.432.570,91</w:t>
            </w:r>
          </w:p>
        </w:tc>
        <w:tc>
          <w:tcPr>
            <w:tcW w:w="47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03D86328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1F60B4B3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37,68</w:t>
            </w:r>
          </w:p>
        </w:tc>
      </w:tr>
      <w:tr w:rsidR="007F1ABC" w:rsidRPr="007F1ABC" w14:paraId="3BC94539" w14:textId="77777777" w:rsidTr="007F1ABC">
        <w:trPr>
          <w:trHeight w:val="300"/>
        </w:trPr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4064" w14:textId="77777777" w:rsidR="007F1ABC" w:rsidRPr="007F1ABC" w:rsidRDefault="007F1ABC" w:rsidP="007F1ABC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011 Izvršna i zakonodavna tijela, financijski i fiskalni poslovi</w:t>
            </w:r>
          </w:p>
        </w:tc>
        <w:tc>
          <w:tcPr>
            <w:tcW w:w="47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E40F845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5.285.322,09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54E4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47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5A2A942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41B0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5.432.570,91</w:t>
            </w:r>
          </w:p>
        </w:tc>
        <w:tc>
          <w:tcPr>
            <w:tcW w:w="47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198C851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9AEC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color w:val="000000"/>
                <w:sz w:val="18"/>
                <w:szCs w:val="18"/>
              </w:rPr>
              <w:t>37,68</w:t>
            </w:r>
          </w:p>
        </w:tc>
      </w:tr>
      <w:tr w:rsidR="007F1ABC" w:rsidRPr="007F1ABC" w14:paraId="21A42D46" w14:textId="77777777" w:rsidTr="007F1ABC">
        <w:trPr>
          <w:trHeight w:val="300"/>
        </w:trPr>
        <w:tc>
          <w:tcPr>
            <w:tcW w:w="2124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33716E5B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Ukupni zbroj</w:t>
            </w:r>
          </w:p>
        </w:tc>
        <w:tc>
          <w:tcPr>
            <w:tcW w:w="479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1A359F3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5.285.322,09</w:t>
            </w:r>
          </w:p>
        </w:tc>
        <w:tc>
          <w:tcPr>
            <w:tcW w:w="479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12BE7E4C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479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0FFD3DF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479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616FD692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5.432.570,91</w:t>
            </w:r>
          </w:p>
        </w:tc>
        <w:tc>
          <w:tcPr>
            <w:tcW w:w="479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A878099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479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auto"/>
            <w:noWrap/>
            <w:vAlign w:val="bottom"/>
            <w:hideMark/>
          </w:tcPr>
          <w:p w14:paraId="5B5D3417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37,68</w:t>
            </w:r>
          </w:p>
        </w:tc>
      </w:tr>
    </w:tbl>
    <w:p w14:paraId="6DF7AB1D" w14:textId="77777777" w:rsidR="003E687E" w:rsidRDefault="003E687E" w:rsidP="003E687E">
      <w:pPr>
        <w:spacing w:line="276" w:lineRule="auto"/>
        <w:rPr>
          <w:rFonts w:cs="Arial"/>
          <w:color w:val="000000" w:themeColor="text1"/>
        </w:rPr>
      </w:pPr>
    </w:p>
    <w:p w14:paraId="5DE4702B" w14:textId="77777777" w:rsidR="003E687E" w:rsidRDefault="003E687E" w:rsidP="003E687E">
      <w:pPr>
        <w:spacing w:line="276" w:lineRule="auto"/>
        <w:rPr>
          <w:rFonts w:cs="Arial"/>
          <w:color w:val="000000" w:themeColor="text1"/>
        </w:rPr>
      </w:pPr>
    </w:p>
    <w:p w14:paraId="16820A84" w14:textId="77777777" w:rsidR="00D86DDC" w:rsidRDefault="00D86DDC" w:rsidP="00082DA5">
      <w:pPr>
        <w:pStyle w:val="Naslov2"/>
        <w:numPr>
          <w:ilvl w:val="1"/>
          <w:numId w:val="28"/>
        </w:numPr>
        <w:tabs>
          <w:tab w:val="left" w:pos="993"/>
        </w:tabs>
        <w:rPr>
          <w:rFonts w:ascii="Arial" w:hAnsi="Arial" w:cs="Arial"/>
          <w:b/>
          <w:color w:val="auto"/>
        </w:rPr>
        <w:sectPr w:rsidR="00D86DDC" w:rsidSect="00D86DDC">
          <w:pgSz w:w="16838" w:h="11906" w:orient="landscape" w:code="9"/>
          <w:pgMar w:top="1134" w:right="1134" w:bottom="1134" w:left="1134" w:header="567" w:footer="567" w:gutter="0"/>
          <w:cols w:space="708"/>
          <w:docGrid w:linePitch="360"/>
        </w:sectPr>
      </w:pPr>
    </w:p>
    <w:p w14:paraId="5A41D04B" w14:textId="48272EA9" w:rsidR="006C3A55" w:rsidRPr="000D6EF4" w:rsidRDefault="00082DA5" w:rsidP="00082DA5">
      <w:pPr>
        <w:pStyle w:val="Naslov2"/>
        <w:numPr>
          <w:ilvl w:val="1"/>
          <w:numId w:val="23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</w:t>
      </w:r>
      <w:bookmarkStart w:id="3" w:name="_Toc144715229"/>
      <w:r w:rsidR="006C3A55" w:rsidRPr="000D6EF4">
        <w:rPr>
          <w:rFonts w:ascii="Times New Roman" w:hAnsi="Times New Roman" w:cs="Times New Roman"/>
          <w:b/>
          <w:color w:val="auto"/>
          <w:sz w:val="24"/>
          <w:szCs w:val="24"/>
        </w:rPr>
        <w:t>Posebni dio izvještaja o izvršenju polugodišnjeg financijskog plana</w:t>
      </w:r>
      <w:bookmarkEnd w:id="3"/>
    </w:p>
    <w:p w14:paraId="7F56BC55" w14:textId="782B9BFA" w:rsidR="006C3A55" w:rsidRPr="000D6EF4" w:rsidRDefault="006C3A55" w:rsidP="006C3A55">
      <w:pPr>
        <w:pStyle w:val="Odlomakpopisa"/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5699E5A1" w14:textId="5F01AEF0" w:rsidR="006C3A55" w:rsidRPr="000D6EF4" w:rsidRDefault="00D66F59" w:rsidP="002F79C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ab/>
      </w:r>
      <w:r w:rsidR="006C3A55" w:rsidRPr="000D6EF4">
        <w:rPr>
          <w:rFonts w:ascii="Times New Roman" w:hAnsi="Times New Roman"/>
          <w:color w:val="000000" w:themeColor="text1"/>
        </w:rPr>
        <w:t>Posebni dio izvještaja o izvršenju polugodišnjeg financijskog plana</w:t>
      </w:r>
      <w:r w:rsidR="00856FD6" w:rsidRPr="000D6EF4">
        <w:rPr>
          <w:rFonts w:ascii="Times New Roman" w:hAnsi="Times New Roman"/>
          <w:color w:val="000000" w:themeColor="text1"/>
        </w:rPr>
        <w:t xml:space="preserve"> iskazuje se u izvještaju po programskoj klasifikaciji</w:t>
      </w:r>
      <w:r w:rsidR="004C2326" w:rsidRPr="000D6EF4">
        <w:rPr>
          <w:rFonts w:ascii="Times New Roman" w:hAnsi="Times New Roman"/>
          <w:color w:val="000000" w:themeColor="text1"/>
        </w:rPr>
        <w:t>. Izvještaj po programskoj klasifikaciji</w:t>
      </w:r>
      <w:r w:rsidR="006C3A55" w:rsidRPr="000D6EF4">
        <w:rPr>
          <w:rFonts w:ascii="Times New Roman" w:hAnsi="Times New Roman"/>
          <w:color w:val="000000" w:themeColor="text1"/>
        </w:rPr>
        <w:t xml:space="preserve"> sadrži izvršenje rashoda i izdataka iskazanih po izvorima financiranja i ekonomskoj klasifikaciji, raspoređenih u programe koji se sastoje od aktivnosti i projekata</w:t>
      </w:r>
      <w:r w:rsidR="002F24FC" w:rsidRPr="000D6EF4">
        <w:rPr>
          <w:rFonts w:ascii="Times New Roman" w:hAnsi="Times New Roman"/>
          <w:color w:val="000000" w:themeColor="text1"/>
        </w:rPr>
        <w:t xml:space="preserve">. </w:t>
      </w:r>
    </w:p>
    <w:p w14:paraId="45F01EF5" w14:textId="77777777" w:rsidR="006C3A55" w:rsidRPr="000D6EF4" w:rsidRDefault="006C3A55" w:rsidP="006C3A55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ind w:left="360"/>
        <w:rPr>
          <w:rFonts w:ascii="Times New Roman" w:hAnsi="Times New Roman"/>
          <w:color w:val="000000" w:themeColor="text1"/>
        </w:rPr>
      </w:pPr>
    </w:p>
    <w:p w14:paraId="70DF3D2E" w14:textId="2BA5CDC6" w:rsidR="008D18AC" w:rsidRPr="000D6EF4" w:rsidRDefault="00D96D65" w:rsidP="00B127E5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 xml:space="preserve">U tablici </w:t>
      </w:r>
      <w:r w:rsidR="00AD3FD5" w:rsidRPr="000D6EF4">
        <w:rPr>
          <w:rFonts w:ascii="Times New Roman" w:hAnsi="Times New Roman"/>
          <w:color w:val="000000" w:themeColor="text1"/>
        </w:rPr>
        <w:t>broj 5</w:t>
      </w:r>
      <w:r w:rsidRPr="000D6EF4">
        <w:rPr>
          <w:rFonts w:ascii="Times New Roman" w:hAnsi="Times New Roman"/>
          <w:color w:val="000000" w:themeColor="text1"/>
        </w:rPr>
        <w:t xml:space="preserve"> daju se podaci o </w:t>
      </w:r>
      <w:r w:rsidR="00B127E5" w:rsidRPr="000D6EF4">
        <w:rPr>
          <w:rFonts w:ascii="Times New Roman" w:hAnsi="Times New Roman"/>
          <w:color w:val="000000" w:themeColor="text1"/>
        </w:rPr>
        <w:t xml:space="preserve">rashodima </w:t>
      </w:r>
      <w:r w:rsidR="008A19A8" w:rsidRPr="000D6EF4">
        <w:rPr>
          <w:rFonts w:ascii="Times New Roman" w:hAnsi="Times New Roman"/>
          <w:color w:val="000000" w:themeColor="text1"/>
        </w:rPr>
        <w:t>p</w:t>
      </w:r>
      <w:r w:rsidR="00B127E5" w:rsidRPr="000D6EF4">
        <w:rPr>
          <w:rFonts w:ascii="Times New Roman" w:hAnsi="Times New Roman"/>
          <w:color w:val="000000" w:themeColor="text1"/>
        </w:rPr>
        <w:t xml:space="preserve">rema izvornom planu za 2023., planiranim rashodima prema tekućem planu za 2023. te izvršenim rashodima u prvom polugodištu 2023.  </w:t>
      </w:r>
    </w:p>
    <w:p w14:paraId="38B7E1A3" w14:textId="0E0811E8" w:rsidR="008D18AC" w:rsidRPr="000D6EF4" w:rsidRDefault="008D18AC" w:rsidP="00B127E5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</w:p>
    <w:p w14:paraId="0948DE04" w14:textId="77560D19" w:rsidR="00800539" w:rsidRPr="000D6EF4" w:rsidRDefault="008D18AC" w:rsidP="00800539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>Prema</w:t>
      </w:r>
      <w:r w:rsidR="00D96D65" w:rsidRPr="000D6EF4">
        <w:rPr>
          <w:rFonts w:ascii="Times New Roman" w:hAnsi="Times New Roman"/>
          <w:color w:val="000000" w:themeColor="text1"/>
        </w:rPr>
        <w:t xml:space="preserve"> </w:t>
      </w:r>
      <w:r w:rsidRPr="000D6EF4">
        <w:rPr>
          <w:rFonts w:ascii="Times New Roman" w:hAnsi="Times New Roman"/>
          <w:color w:val="000000" w:themeColor="text1"/>
        </w:rPr>
        <w:t>podac</w:t>
      </w:r>
      <w:r w:rsidR="00D96D65" w:rsidRPr="000D6EF4">
        <w:rPr>
          <w:rFonts w:ascii="Times New Roman" w:hAnsi="Times New Roman"/>
          <w:color w:val="000000" w:themeColor="text1"/>
        </w:rPr>
        <w:t xml:space="preserve">ima </w:t>
      </w:r>
      <w:r w:rsidR="00AD3FD5" w:rsidRPr="000D6EF4">
        <w:rPr>
          <w:rFonts w:ascii="Times New Roman" w:hAnsi="Times New Roman"/>
          <w:color w:val="000000" w:themeColor="text1"/>
        </w:rPr>
        <w:t>navedenim u tablici broj 5</w:t>
      </w:r>
      <w:r w:rsidRPr="000D6EF4">
        <w:rPr>
          <w:rFonts w:ascii="Times New Roman" w:hAnsi="Times New Roman"/>
          <w:color w:val="000000" w:themeColor="text1"/>
        </w:rPr>
        <w:t xml:space="preserve">, izvršeni su rashodi u iznosu </w:t>
      </w:r>
      <w:r w:rsidR="00AD3FD5" w:rsidRPr="000D6EF4">
        <w:rPr>
          <w:rFonts w:ascii="Times New Roman" w:hAnsi="Times New Roman"/>
          <w:color w:val="000000" w:themeColor="text1"/>
        </w:rPr>
        <w:t xml:space="preserve">od </w:t>
      </w:r>
      <w:r w:rsidRPr="000D6EF4">
        <w:rPr>
          <w:rFonts w:ascii="Times New Roman" w:hAnsi="Times New Roman"/>
          <w:color w:val="000000" w:themeColor="text1"/>
        </w:rPr>
        <w:t>5.432.570,91 EUR</w:t>
      </w:r>
      <w:r w:rsidR="00AD3FD5" w:rsidRPr="000D6EF4">
        <w:rPr>
          <w:rFonts w:ascii="Times New Roman" w:hAnsi="Times New Roman"/>
          <w:color w:val="000000" w:themeColor="text1"/>
        </w:rPr>
        <w:t xml:space="preserve">, što </w:t>
      </w:r>
      <w:r w:rsidR="00D96D65" w:rsidRPr="000D6EF4">
        <w:rPr>
          <w:rFonts w:ascii="Times New Roman" w:hAnsi="Times New Roman"/>
          <w:color w:val="000000" w:themeColor="text1"/>
        </w:rPr>
        <w:t>čini 37,</w:t>
      </w:r>
      <w:r w:rsidR="00F139F9" w:rsidRPr="000D6EF4">
        <w:rPr>
          <w:rFonts w:ascii="Times New Roman" w:hAnsi="Times New Roman"/>
          <w:color w:val="000000" w:themeColor="text1"/>
        </w:rPr>
        <w:t>68</w:t>
      </w:r>
      <w:r w:rsidR="00D96D65" w:rsidRPr="000D6EF4">
        <w:rPr>
          <w:rFonts w:ascii="Times New Roman" w:hAnsi="Times New Roman"/>
          <w:color w:val="000000" w:themeColor="text1"/>
        </w:rPr>
        <w:t xml:space="preserve"> %</w:t>
      </w:r>
      <w:r w:rsidRPr="000D6EF4">
        <w:rPr>
          <w:rFonts w:ascii="Times New Roman" w:hAnsi="Times New Roman"/>
          <w:color w:val="000000" w:themeColor="text1"/>
        </w:rPr>
        <w:t xml:space="preserve"> tekućeg odnosno izvornog plana za 2023.</w:t>
      </w:r>
      <w:r w:rsidR="00800539" w:rsidRPr="000D6EF4">
        <w:rPr>
          <w:rFonts w:ascii="Times New Roman" w:hAnsi="Times New Roman"/>
          <w:color w:val="000000" w:themeColor="text1"/>
        </w:rPr>
        <w:t xml:space="preserve"> </w:t>
      </w:r>
    </w:p>
    <w:p w14:paraId="3B417091" w14:textId="77777777" w:rsidR="00692205" w:rsidRPr="000D6EF4" w:rsidRDefault="00692205" w:rsidP="00800539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</w:p>
    <w:p w14:paraId="4F9F1CEF" w14:textId="27BF9A86" w:rsidR="00800539" w:rsidRPr="000D6EF4" w:rsidRDefault="008D18AC" w:rsidP="00800539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 xml:space="preserve"> </w:t>
      </w:r>
      <w:r w:rsidR="00D96D65" w:rsidRPr="000D6EF4">
        <w:rPr>
          <w:rFonts w:ascii="Times New Roman" w:hAnsi="Times New Roman"/>
          <w:color w:val="000000" w:themeColor="text1"/>
        </w:rPr>
        <w:t xml:space="preserve">Navedeni podaci se odnose na </w:t>
      </w:r>
      <w:r w:rsidR="00800539" w:rsidRPr="000D6EF4">
        <w:rPr>
          <w:rFonts w:ascii="Times New Roman" w:hAnsi="Times New Roman"/>
          <w:color w:val="000000" w:themeColor="text1"/>
        </w:rPr>
        <w:t>Program 2028, Djelovanje Državnog ureda za reviziju te Aktivnost 665000 Administracija i upravljanje</w:t>
      </w:r>
      <w:r w:rsidR="00446521" w:rsidRPr="000D6EF4">
        <w:rPr>
          <w:rFonts w:ascii="Times New Roman" w:hAnsi="Times New Roman"/>
          <w:color w:val="000000" w:themeColor="text1"/>
        </w:rPr>
        <w:t>,</w:t>
      </w:r>
      <w:r w:rsidR="00800539" w:rsidRPr="000D6EF4">
        <w:rPr>
          <w:rFonts w:ascii="Times New Roman" w:hAnsi="Times New Roman"/>
          <w:color w:val="000000" w:themeColor="text1"/>
        </w:rPr>
        <w:t xml:space="preserve"> kao i na projekt</w:t>
      </w:r>
      <w:r w:rsidR="006A79F1" w:rsidRPr="000D6EF4">
        <w:rPr>
          <w:rFonts w:ascii="Times New Roman" w:hAnsi="Times New Roman"/>
          <w:color w:val="000000" w:themeColor="text1"/>
        </w:rPr>
        <w:t>e</w:t>
      </w:r>
      <w:r w:rsidR="00800539" w:rsidRPr="000D6EF4">
        <w:rPr>
          <w:rFonts w:ascii="Times New Roman" w:hAnsi="Times New Roman"/>
          <w:color w:val="000000" w:themeColor="text1"/>
        </w:rPr>
        <w:t xml:space="preserve"> K665</w:t>
      </w:r>
      <w:r w:rsidR="001E76A1" w:rsidRPr="000D6EF4">
        <w:rPr>
          <w:rFonts w:ascii="Times New Roman" w:hAnsi="Times New Roman"/>
          <w:color w:val="000000" w:themeColor="text1"/>
        </w:rPr>
        <w:t>001 Informatizacija te K665002 O</w:t>
      </w:r>
      <w:r w:rsidR="00800539" w:rsidRPr="000D6EF4">
        <w:rPr>
          <w:rFonts w:ascii="Times New Roman" w:hAnsi="Times New Roman"/>
          <w:color w:val="000000" w:themeColor="text1"/>
        </w:rPr>
        <w:t xml:space="preserve">bnova voznog parka. </w:t>
      </w:r>
    </w:p>
    <w:p w14:paraId="66A39B17" w14:textId="77DFEEB9" w:rsidR="008D18AC" w:rsidRPr="000D6EF4" w:rsidRDefault="008D18AC" w:rsidP="00B127E5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</w:p>
    <w:p w14:paraId="43EBDD68" w14:textId="77777777" w:rsidR="008D18AC" w:rsidRDefault="008D18AC" w:rsidP="00B127E5">
      <w:pPr>
        <w:spacing w:line="276" w:lineRule="auto"/>
        <w:ind w:firstLine="709"/>
        <w:rPr>
          <w:rFonts w:cs="Arial"/>
          <w:color w:val="000000" w:themeColor="text1"/>
        </w:rPr>
        <w:sectPr w:rsidR="008D18AC" w:rsidSect="00D86DDC"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04321437" w14:textId="1B327589" w:rsidR="003E687E" w:rsidRDefault="003E687E" w:rsidP="003E687E">
      <w:pPr>
        <w:spacing w:line="276" w:lineRule="auto"/>
        <w:rPr>
          <w:rFonts w:cs="Arial"/>
          <w:color w:val="000000" w:themeColor="text1"/>
        </w:rPr>
      </w:pPr>
      <w:r w:rsidRPr="003C6EE2">
        <w:rPr>
          <w:rFonts w:cs="Arial"/>
          <w:color w:val="000000" w:themeColor="text1"/>
        </w:rPr>
        <w:t xml:space="preserve">Tablica 5 </w:t>
      </w:r>
    </w:p>
    <w:p w14:paraId="6442BF96" w14:textId="6CB2EA23" w:rsidR="009A13C3" w:rsidRPr="00CA357C" w:rsidRDefault="009A13C3" w:rsidP="0084232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cs="Arial"/>
          <w:b/>
          <w:color w:val="000000" w:themeColor="text1"/>
        </w:rPr>
      </w:pPr>
    </w:p>
    <w:p w14:paraId="724896CA" w14:textId="2643BE54" w:rsidR="009A13C3" w:rsidRDefault="009A13C3" w:rsidP="009A13C3">
      <w:pPr>
        <w:rPr>
          <w:rFonts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12"/>
        <w:gridCol w:w="1763"/>
        <w:gridCol w:w="1763"/>
        <w:gridCol w:w="1763"/>
        <w:gridCol w:w="1469"/>
      </w:tblGrid>
      <w:tr w:rsidR="007F1ABC" w:rsidRPr="007F1ABC" w14:paraId="1FB9E6E2" w14:textId="77777777" w:rsidTr="007F1ABC"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50B29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bookmarkStart w:id="4" w:name="_Toc116889209"/>
            <w:r w:rsidRPr="007F1ABC">
              <w:rPr>
                <w:rFonts w:cs="Arial"/>
                <w:b/>
                <w:bCs/>
                <w:color w:val="000000"/>
                <w:sz w:val="18"/>
                <w:szCs w:val="18"/>
              </w:rPr>
              <w:t>2. POSEBNI DIO</w:t>
            </w:r>
          </w:p>
        </w:tc>
      </w:tr>
      <w:tr w:rsidR="007F1ABC" w:rsidRPr="007F1ABC" w14:paraId="6218A07E" w14:textId="77777777" w:rsidTr="007F1ABC">
        <w:trPr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B2E6A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068D5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2826E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281A4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43596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ABC" w:rsidRPr="007F1ABC" w14:paraId="43C82F52" w14:textId="77777777" w:rsidTr="007F1ABC">
        <w:trPr>
          <w:trHeight w:val="40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1FC47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cs="Arial"/>
                <w:b/>
                <w:bCs/>
                <w:color w:val="000000"/>
                <w:sz w:val="18"/>
                <w:szCs w:val="18"/>
              </w:rPr>
              <w:t>2.1. IZVJEŠTAJ PO PROGRAMSKOJ KLASIFIKACIJI</w:t>
            </w:r>
          </w:p>
        </w:tc>
      </w:tr>
      <w:tr w:rsidR="007F1ABC" w:rsidRPr="007F1ABC" w14:paraId="191C451B" w14:textId="77777777" w:rsidTr="007F1ABC">
        <w:trPr>
          <w:trHeight w:val="40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7A9D1" w14:textId="77777777" w:rsid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7690"/>
              <w:gridCol w:w="1736"/>
              <w:gridCol w:w="1736"/>
              <w:gridCol w:w="1736"/>
              <w:gridCol w:w="1446"/>
            </w:tblGrid>
            <w:tr w:rsidR="001674FE" w:rsidRPr="001674FE" w14:paraId="46E91143" w14:textId="77777777" w:rsidTr="001674FE">
              <w:trPr>
                <w:trHeight w:val="960"/>
              </w:trPr>
              <w:tc>
                <w:tcPr>
                  <w:tcW w:w="26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noWrap/>
                  <w:vAlign w:val="bottom"/>
                  <w:hideMark/>
                </w:tcPr>
                <w:p w14:paraId="434C05D3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14:paraId="568851F5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IZVORNI PLAN ILI REBALANS ZA 2023. </w:t>
                  </w: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br/>
                    <w:t>EUR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14:paraId="46BD09D5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TEKUĆI                           PLAN ZA 2023. </w:t>
                  </w: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br/>
                    <w:t>EUR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14:paraId="5D2F0472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IZVRŠENJE </w:t>
                  </w: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br/>
                    <w:t>01.01-30.06.2023. EUR</w:t>
                  </w:r>
                </w:p>
              </w:tc>
              <w:tc>
                <w:tcPr>
                  <w:tcW w:w="5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vAlign w:val="center"/>
                  <w:hideMark/>
                </w:tcPr>
                <w:p w14:paraId="6FCA81F9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INDEKS </w:t>
                  </w:r>
                </w:p>
              </w:tc>
            </w:tr>
            <w:tr w:rsidR="001674FE" w:rsidRPr="001674FE" w14:paraId="415EF39E" w14:textId="77777777" w:rsidTr="001674FE">
              <w:trPr>
                <w:trHeight w:val="240"/>
              </w:trPr>
              <w:tc>
                <w:tcPr>
                  <w:tcW w:w="26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noWrap/>
                  <w:vAlign w:val="center"/>
                  <w:hideMark/>
                </w:tcPr>
                <w:p w14:paraId="76480F14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noWrap/>
                  <w:vAlign w:val="center"/>
                  <w:hideMark/>
                </w:tcPr>
                <w:p w14:paraId="45776701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noWrap/>
                  <w:vAlign w:val="center"/>
                  <w:hideMark/>
                </w:tcPr>
                <w:p w14:paraId="10B76B35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noWrap/>
                  <w:vAlign w:val="center"/>
                  <w:hideMark/>
                </w:tcPr>
                <w:p w14:paraId="67987B8F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CDDC"/>
                  <w:noWrap/>
                  <w:vAlign w:val="center"/>
                  <w:hideMark/>
                </w:tcPr>
                <w:p w14:paraId="5FC91CB3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4 (3/2)*100</w:t>
                  </w:r>
                </w:p>
              </w:tc>
            </w:tr>
            <w:tr w:rsidR="001674FE" w:rsidRPr="001674FE" w14:paraId="5C2EED36" w14:textId="77777777" w:rsidTr="001674FE">
              <w:trPr>
                <w:trHeight w:val="240"/>
              </w:trPr>
              <w:tc>
                <w:tcPr>
                  <w:tcW w:w="2681" w:type="pct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000000" w:fill="8DB4E2"/>
                  <w:noWrap/>
                  <w:vAlign w:val="bottom"/>
                  <w:hideMark/>
                </w:tcPr>
                <w:p w14:paraId="72B4C026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RAZDJEL 185 DRŽAVNI URED ZA REVIZIJU</w:t>
                  </w:r>
                </w:p>
              </w:tc>
              <w:tc>
                <w:tcPr>
                  <w:tcW w:w="605" w:type="pct"/>
                  <w:tcBorders>
                    <w:top w:val="single" w:sz="4" w:space="0" w:color="95B3D7"/>
                    <w:left w:val="single" w:sz="4" w:space="0" w:color="95B3D7"/>
                    <w:bottom w:val="single" w:sz="4" w:space="0" w:color="95B3D7"/>
                    <w:right w:val="single" w:sz="4" w:space="0" w:color="95B3D7"/>
                  </w:tcBorders>
                  <w:shd w:val="clear" w:color="000000" w:fill="8DB4E2"/>
                  <w:noWrap/>
                  <w:vAlign w:val="bottom"/>
                  <w:hideMark/>
                </w:tcPr>
                <w:p w14:paraId="1B3C6426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14.415.988,00</w:t>
                  </w:r>
                </w:p>
              </w:tc>
              <w:tc>
                <w:tcPr>
                  <w:tcW w:w="605" w:type="pct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000000" w:fill="8DB4E2"/>
                  <w:noWrap/>
                  <w:vAlign w:val="bottom"/>
                  <w:hideMark/>
                </w:tcPr>
                <w:p w14:paraId="76DAC078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14.415.988,00</w:t>
                  </w:r>
                </w:p>
              </w:tc>
              <w:tc>
                <w:tcPr>
                  <w:tcW w:w="605" w:type="pct"/>
                  <w:tcBorders>
                    <w:top w:val="single" w:sz="4" w:space="0" w:color="95B3D7"/>
                    <w:left w:val="single" w:sz="4" w:space="0" w:color="95B3D7"/>
                    <w:bottom w:val="single" w:sz="4" w:space="0" w:color="95B3D7"/>
                    <w:right w:val="single" w:sz="4" w:space="0" w:color="95B3D7"/>
                  </w:tcBorders>
                  <w:shd w:val="clear" w:color="000000" w:fill="8DB4E2"/>
                  <w:noWrap/>
                  <w:vAlign w:val="bottom"/>
                  <w:hideMark/>
                </w:tcPr>
                <w:p w14:paraId="4116C46A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5.432.570,91</w:t>
                  </w:r>
                </w:p>
              </w:tc>
              <w:tc>
                <w:tcPr>
                  <w:tcW w:w="504" w:type="pct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000000" w:fill="8DB4E2"/>
                  <w:noWrap/>
                  <w:vAlign w:val="bottom"/>
                  <w:hideMark/>
                </w:tcPr>
                <w:p w14:paraId="2179E410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37,68</w:t>
                  </w:r>
                </w:p>
              </w:tc>
            </w:tr>
            <w:tr w:rsidR="001674FE" w:rsidRPr="001674FE" w14:paraId="11919465" w14:textId="77777777" w:rsidTr="001674FE">
              <w:trPr>
                <w:trHeight w:val="240"/>
              </w:trPr>
              <w:tc>
                <w:tcPr>
                  <w:tcW w:w="26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DB4E2"/>
                  <w:noWrap/>
                  <w:vAlign w:val="bottom"/>
                  <w:hideMark/>
                </w:tcPr>
                <w:p w14:paraId="0F4F21B0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ind w:firstLineChars="100" w:firstLine="180"/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GLAVA 18505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single" w:sz="4" w:space="0" w:color="95B3D7"/>
                    <w:bottom w:val="nil"/>
                    <w:right w:val="single" w:sz="4" w:space="0" w:color="95B3D7"/>
                  </w:tcBorders>
                  <w:shd w:val="clear" w:color="000000" w:fill="8DB4E2"/>
                  <w:noWrap/>
                  <w:vAlign w:val="bottom"/>
                  <w:hideMark/>
                </w:tcPr>
                <w:p w14:paraId="69CC1415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14.415.988,00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DB4E2"/>
                  <w:noWrap/>
                  <w:vAlign w:val="bottom"/>
                  <w:hideMark/>
                </w:tcPr>
                <w:p w14:paraId="552B5DD7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14.415.988,00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single" w:sz="4" w:space="0" w:color="95B3D7"/>
                    <w:bottom w:val="nil"/>
                    <w:right w:val="single" w:sz="4" w:space="0" w:color="95B3D7"/>
                  </w:tcBorders>
                  <w:shd w:val="clear" w:color="000000" w:fill="8DB4E2"/>
                  <w:noWrap/>
                  <w:vAlign w:val="bottom"/>
                  <w:hideMark/>
                </w:tcPr>
                <w:p w14:paraId="7BBBF6BD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5.432.570,91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DB4E2"/>
                  <w:noWrap/>
                  <w:vAlign w:val="bottom"/>
                  <w:hideMark/>
                </w:tcPr>
                <w:p w14:paraId="74F5B79A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37,68</w:t>
                  </w:r>
                </w:p>
              </w:tc>
            </w:tr>
            <w:tr w:rsidR="001674FE" w:rsidRPr="001674FE" w14:paraId="3E2F706B" w14:textId="77777777" w:rsidTr="001674FE">
              <w:trPr>
                <w:trHeight w:val="240"/>
              </w:trPr>
              <w:tc>
                <w:tcPr>
                  <w:tcW w:w="2681" w:type="pct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000000" w:fill="8DB4E2"/>
                  <w:noWrap/>
                  <w:vAlign w:val="bottom"/>
                  <w:hideMark/>
                </w:tcPr>
                <w:p w14:paraId="18F6AD80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ind w:firstLineChars="200" w:firstLine="360"/>
                    <w:jc w:val="left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22 FINANCIJSKI I FISKALNI SUSTAV</w:t>
                  </w:r>
                </w:p>
              </w:tc>
              <w:tc>
                <w:tcPr>
                  <w:tcW w:w="605" w:type="pct"/>
                  <w:tcBorders>
                    <w:top w:val="single" w:sz="4" w:space="0" w:color="95B3D7"/>
                    <w:left w:val="single" w:sz="4" w:space="0" w:color="95B3D7"/>
                    <w:bottom w:val="single" w:sz="4" w:space="0" w:color="95B3D7"/>
                    <w:right w:val="single" w:sz="4" w:space="0" w:color="95B3D7"/>
                  </w:tcBorders>
                  <w:shd w:val="clear" w:color="000000" w:fill="8DB4E2"/>
                  <w:noWrap/>
                  <w:vAlign w:val="bottom"/>
                  <w:hideMark/>
                </w:tcPr>
                <w:p w14:paraId="4A6AD3ED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14.415.988,00</w:t>
                  </w:r>
                </w:p>
              </w:tc>
              <w:tc>
                <w:tcPr>
                  <w:tcW w:w="605" w:type="pct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000000" w:fill="8DB4E2"/>
                  <w:noWrap/>
                  <w:vAlign w:val="bottom"/>
                  <w:hideMark/>
                </w:tcPr>
                <w:p w14:paraId="7F510F6C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14.415.988,00</w:t>
                  </w:r>
                </w:p>
              </w:tc>
              <w:tc>
                <w:tcPr>
                  <w:tcW w:w="605" w:type="pct"/>
                  <w:tcBorders>
                    <w:top w:val="single" w:sz="4" w:space="0" w:color="95B3D7"/>
                    <w:left w:val="single" w:sz="4" w:space="0" w:color="95B3D7"/>
                    <w:bottom w:val="single" w:sz="4" w:space="0" w:color="95B3D7"/>
                    <w:right w:val="single" w:sz="4" w:space="0" w:color="95B3D7"/>
                  </w:tcBorders>
                  <w:shd w:val="clear" w:color="000000" w:fill="8DB4E2"/>
                  <w:noWrap/>
                  <w:vAlign w:val="bottom"/>
                  <w:hideMark/>
                </w:tcPr>
                <w:p w14:paraId="63C9AAC0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5.432.570,91</w:t>
                  </w:r>
                </w:p>
              </w:tc>
              <w:tc>
                <w:tcPr>
                  <w:tcW w:w="504" w:type="pct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000000" w:fill="8DB4E2"/>
                  <w:noWrap/>
                  <w:vAlign w:val="bottom"/>
                  <w:hideMark/>
                </w:tcPr>
                <w:p w14:paraId="4AA88627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37,68</w:t>
                  </w:r>
                </w:p>
              </w:tc>
            </w:tr>
            <w:tr w:rsidR="001674FE" w:rsidRPr="001674FE" w14:paraId="003F6A45" w14:textId="77777777" w:rsidTr="001674FE">
              <w:trPr>
                <w:trHeight w:val="240"/>
              </w:trPr>
              <w:tc>
                <w:tcPr>
                  <w:tcW w:w="26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DB4E2"/>
                  <w:noWrap/>
                  <w:vAlign w:val="bottom"/>
                  <w:hideMark/>
                </w:tcPr>
                <w:p w14:paraId="3CF88214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ind w:firstLineChars="300" w:firstLine="540"/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2208 DJELOVANJE DRŽAVNOG UREDA ZA REVIZIJU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single" w:sz="4" w:space="0" w:color="95B3D7"/>
                    <w:bottom w:val="nil"/>
                    <w:right w:val="single" w:sz="4" w:space="0" w:color="95B3D7"/>
                  </w:tcBorders>
                  <w:shd w:val="clear" w:color="000000" w:fill="8DB4E2"/>
                  <w:noWrap/>
                  <w:vAlign w:val="bottom"/>
                  <w:hideMark/>
                </w:tcPr>
                <w:p w14:paraId="24A2FE80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14.415.988,00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DB4E2"/>
                  <w:noWrap/>
                  <w:vAlign w:val="bottom"/>
                  <w:hideMark/>
                </w:tcPr>
                <w:p w14:paraId="1C0A480C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14.415.988,00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single" w:sz="4" w:space="0" w:color="95B3D7"/>
                    <w:bottom w:val="nil"/>
                    <w:right w:val="single" w:sz="4" w:space="0" w:color="95B3D7"/>
                  </w:tcBorders>
                  <w:shd w:val="clear" w:color="000000" w:fill="8DB4E2"/>
                  <w:noWrap/>
                  <w:vAlign w:val="bottom"/>
                  <w:hideMark/>
                </w:tcPr>
                <w:p w14:paraId="517ABC24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5.432.570,91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DB4E2"/>
                  <w:noWrap/>
                  <w:vAlign w:val="bottom"/>
                  <w:hideMark/>
                </w:tcPr>
                <w:p w14:paraId="6C908B5D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37,68</w:t>
                  </w:r>
                </w:p>
              </w:tc>
            </w:tr>
            <w:tr w:rsidR="001674FE" w:rsidRPr="001674FE" w14:paraId="1F0D95EB" w14:textId="77777777" w:rsidTr="001674FE">
              <w:trPr>
                <w:trHeight w:val="240"/>
              </w:trPr>
              <w:tc>
                <w:tcPr>
                  <w:tcW w:w="2681" w:type="pct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000000" w:fill="CCC0DA"/>
                  <w:vAlign w:val="bottom"/>
                  <w:hideMark/>
                </w:tcPr>
                <w:p w14:paraId="1BDC99BB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ind w:firstLineChars="500" w:firstLine="900"/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IZVOR 11 OPĆI PRIHODI I PRIMICI</w:t>
                  </w:r>
                </w:p>
              </w:tc>
              <w:tc>
                <w:tcPr>
                  <w:tcW w:w="605" w:type="pct"/>
                  <w:tcBorders>
                    <w:top w:val="single" w:sz="4" w:space="0" w:color="95B3D7"/>
                    <w:left w:val="single" w:sz="4" w:space="0" w:color="95B3D7"/>
                    <w:bottom w:val="single" w:sz="4" w:space="0" w:color="95B3D7"/>
                    <w:right w:val="single" w:sz="4" w:space="0" w:color="95B3D7"/>
                  </w:tcBorders>
                  <w:shd w:val="clear" w:color="000000" w:fill="CCC0DA"/>
                  <w:vAlign w:val="bottom"/>
                  <w:hideMark/>
                </w:tcPr>
                <w:p w14:paraId="79026B68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13.288.679,00</w:t>
                  </w:r>
                </w:p>
              </w:tc>
              <w:tc>
                <w:tcPr>
                  <w:tcW w:w="605" w:type="pct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000000" w:fill="CCC0DA"/>
                  <w:vAlign w:val="bottom"/>
                  <w:hideMark/>
                </w:tcPr>
                <w:p w14:paraId="6CDF6027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13.288.679,00</w:t>
                  </w:r>
                </w:p>
              </w:tc>
              <w:tc>
                <w:tcPr>
                  <w:tcW w:w="605" w:type="pct"/>
                  <w:tcBorders>
                    <w:top w:val="single" w:sz="4" w:space="0" w:color="95B3D7"/>
                    <w:left w:val="single" w:sz="4" w:space="0" w:color="95B3D7"/>
                    <w:bottom w:val="single" w:sz="4" w:space="0" w:color="95B3D7"/>
                    <w:right w:val="single" w:sz="4" w:space="0" w:color="95B3D7"/>
                  </w:tcBorders>
                  <w:shd w:val="clear" w:color="000000" w:fill="CCC0DA"/>
                  <w:vAlign w:val="bottom"/>
                  <w:hideMark/>
                </w:tcPr>
                <w:p w14:paraId="50789D3F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5.070.128,43</w:t>
                  </w:r>
                </w:p>
              </w:tc>
              <w:tc>
                <w:tcPr>
                  <w:tcW w:w="504" w:type="pct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000000" w:fill="CCC0DA"/>
                  <w:vAlign w:val="bottom"/>
                  <w:hideMark/>
                </w:tcPr>
                <w:p w14:paraId="3E355513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38,15</w:t>
                  </w:r>
                </w:p>
              </w:tc>
            </w:tr>
            <w:tr w:rsidR="001674FE" w:rsidRPr="001674FE" w14:paraId="57409A47" w14:textId="77777777" w:rsidTr="001674FE">
              <w:trPr>
                <w:trHeight w:val="240"/>
              </w:trPr>
              <w:tc>
                <w:tcPr>
                  <w:tcW w:w="26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0DA"/>
                  <w:vAlign w:val="bottom"/>
                  <w:hideMark/>
                </w:tcPr>
                <w:p w14:paraId="673D0DF1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ind w:firstLineChars="500" w:firstLine="900"/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IZVOR 31 VLASTITI PRIHODI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single" w:sz="4" w:space="0" w:color="95B3D7"/>
                    <w:bottom w:val="nil"/>
                    <w:right w:val="single" w:sz="4" w:space="0" w:color="95B3D7"/>
                  </w:tcBorders>
                  <w:shd w:val="clear" w:color="000000" w:fill="CCC0DA"/>
                  <w:vAlign w:val="bottom"/>
                  <w:hideMark/>
                </w:tcPr>
                <w:p w14:paraId="2C4CD1E2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209.102,00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0DA"/>
                  <w:vAlign w:val="bottom"/>
                  <w:hideMark/>
                </w:tcPr>
                <w:p w14:paraId="1A1CA432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209.102,00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single" w:sz="4" w:space="0" w:color="95B3D7"/>
                    <w:bottom w:val="nil"/>
                    <w:right w:val="single" w:sz="4" w:space="0" w:color="95B3D7"/>
                  </w:tcBorders>
                  <w:shd w:val="clear" w:color="000000" w:fill="CCC0DA"/>
                  <w:vAlign w:val="bottom"/>
                  <w:hideMark/>
                </w:tcPr>
                <w:p w14:paraId="57D3C484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4.645,30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0DA"/>
                  <w:vAlign w:val="bottom"/>
                  <w:hideMark/>
                </w:tcPr>
                <w:p w14:paraId="7226D830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2,22</w:t>
                  </w:r>
                </w:p>
              </w:tc>
            </w:tr>
            <w:tr w:rsidR="001674FE" w:rsidRPr="001674FE" w14:paraId="0E5B7F7D" w14:textId="77777777" w:rsidTr="001674FE">
              <w:trPr>
                <w:trHeight w:val="240"/>
              </w:trPr>
              <w:tc>
                <w:tcPr>
                  <w:tcW w:w="2681" w:type="pct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000000" w:fill="CCC0DA"/>
                  <w:vAlign w:val="bottom"/>
                  <w:hideMark/>
                </w:tcPr>
                <w:p w14:paraId="646B84E9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ind w:firstLineChars="500" w:firstLine="900"/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IZVOR 5761 FOND SOLIDARNOSTI EU - potres ožujak 2020.</w:t>
                  </w:r>
                </w:p>
              </w:tc>
              <w:tc>
                <w:tcPr>
                  <w:tcW w:w="605" w:type="pct"/>
                  <w:tcBorders>
                    <w:top w:val="single" w:sz="4" w:space="0" w:color="95B3D7"/>
                    <w:left w:val="single" w:sz="4" w:space="0" w:color="95B3D7"/>
                    <w:bottom w:val="single" w:sz="4" w:space="0" w:color="95B3D7"/>
                    <w:right w:val="single" w:sz="4" w:space="0" w:color="95B3D7"/>
                  </w:tcBorders>
                  <w:shd w:val="clear" w:color="000000" w:fill="CCC0DA"/>
                  <w:vAlign w:val="bottom"/>
                  <w:hideMark/>
                </w:tcPr>
                <w:p w14:paraId="0BD6C6CC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918.207,00</w:t>
                  </w:r>
                </w:p>
              </w:tc>
              <w:tc>
                <w:tcPr>
                  <w:tcW w:w="605" w:type="pct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000000" w:fill="CCC0DA"/>
                  <w:vAlign w:val="bottom"/>
                  <w:hideMark/>
                </w:tcPr>
                <w:p w14:paraId="49954604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918.207,00</w:t>
                  </w:r>
                </w:p>
              </w:tc>
              <w:tc>
                <w:tcPr>
                  <w:tcW w:w="605" w:type="pct"/>
                  <w:tcBorders>
                    <w:top w:val="single" w:sz="4" w:space="0" w:color="95B3D7"/>
                    <w:left w:val="single" w:sz="4" w:space="0" w:color="95B3D7"/>
                    <w:bottom w:val="single" w:sz="4" w:space="0" w:color="95B3D7"/>
                    <w:right w:val="single" w:sz="4" w:space="0" w:color="95B3D7"/>
                  </w:tcBorders>
                  <w:shd w:val="clear" w:color="000000" w:fill="CCC0DA"/>
                  <w:vAlign w:val="bottom"/>
                  <w:hideMark/>
                </w:tcPr>
                <w:p w14:paraId="7EABF359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357.797,18</w:t>
                  </w:r>
                </w:p>
              </w:tc>
              <w:tc>
                <w:tcPr>
                  <w:tcW w:w="504" w:type="pct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000000" w:fill="CCC0DA"/>
                  <w:vAlign w:val="bottom"/>
                  <w:hideMark/>
                </w:tcPr>
                <w:p w14:paraId="25A38CC1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38,97</w:t>
                  </w:r>
                </w:p>
              </w:tc>
            </w:tr>
            <w:tr w:rsidR="001674FE" w:rsidRPr="001674FE" w14:paraId="70D6D205" w14:textId="77777777" w:rsidTr="001674FE">
              <w:trPr>
                <w:trHeight w:val="240"/>
              </w:trPr>
              <w:tc>
                <w:tcPr>
                  <w:tcW w:w="2681" w:type="pct"/>
                  <w:tcBorders>
                    <w:top w:val="single" w:sz="4" w:space="0" w:color="366092"/>
                    <w:left w:val="nil"/>
                    <w:bottom w:val="single" w:sz="8" w:space="0" w:color="366092"/>
                    <w:right w:val="nil"/>
                  </w:tcBorders>
                  <w:shd w:val="clear" w:color="000000" w:fill="92CDDC"/>
                  <w:vAlign w:val="bottom"/>
                  <w:hideMark/>
                </w:tcPr>
                <w:p w14:paraId="67369ACD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Ukupni zbroj</w:t>
                  </w:r>
                </w:p>
              </w:tc>
              <w:tc>
                <w:tcPr>
                  <w:tcW w:w="605" w:type="pct"/>
                  <w:tcBorders>
                    <w:top w:val="single" w:sz="4" w:space="0" w:color="366092"/>
                    <w:left w:val="single" w:sz="4" w:space="0" w:color="95B3D7"/>
                    <w:bottom w:val="single" w:sz="8" w:space="0" w:color="366092"/>
                    <w:right w:val="single" w:sz="4" w:space="0" w:color="95B3D7"/>
                  </w:tcBorders>
                  <w:shd w:val="clear" w:color="000000" w:fill="92CDDC"/>
                  <w:noWrap/>
                  <w:vAlign w:val="bottom"/>
                  <w:hideMark/>
                </w:tcPr>
                <w:p w14:paraId="34DD93BF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14.415.988,00</w:t>
                  </w:r>
                </w:p>
              </w:tc>
              <w:tc>
                <w:tcPr>
                  <w:tcW w:w="605" w:type="pct"/>
                  <w:tcBorders>
                    <w:top w:val="single" w:sz="4" w:space="0" w:color="366092"/>
                    <w:left w:val="nil"/>
                    <w:bottom w:val="single" w:sz="8" w:space="0" w:color="366092"/>
                    <w:right w:val="nil"/>
                  </w:tcBorders>
                  <w:shd w:val="clear" w:color="000000" w:fill="92CDDC"/>
                  <w:noWrap/>
                  <w:vAlign w:val="bottom"/>
                  <w:hideMark/>
                </w:tcPr>
                <w:p w14:paraId="3379E818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14.415.988,00</w:t>
                  </w:r>
                </w:p>
              </w:tc>
              <w:tc>
                <w:tcPr>
                  <w:tcW w:w="605" w:type="pct"/>
                  <w:tcBorders>
                    <w:top w:val="single" w:sz="4" w:space="0" w:color="366092"/>
                    <w:left w:val="single" w:sz="4" w:space="0" w:color="95B3D7"/>
                    <w:bottom w:val="single" w:sz="8" w:space="0" w:color="366092"/>
                    <w:right w:val="single" w:sz="4" w:space="0" w:color="95B3D7"/>
                  </w:tcBorders>
                  <w:shd w:val="clear" w:color="000000" w:fill="92CDDC"/>
                  <w:noWrap/>
                  <w:vAlign w:val="bottom"/>
                  <w:hideMark/>
                </w:tcPr>
                <w:p w14:paraId="66C9B529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5.432.570,91</w:t>
                  </w:r>
                </w:p>
              </w:tc>
              <w:tc>
                <w:tcPr>
                  <w:tcW w:w="504" w:type="pct"/>
                  <w:tcBorders>
                    <w:top w:val="single" w:sz="4" w:space="0" w:color="366092"/>
                    <w:left w:val="nil"/>
                    <w:bottom w:val="single" w:sz="8" w:space="0" w:color="366092"/>
                    <w:right w:val="nil"/>
                  </w:tcBorders>
                  <w:shd w:val="clear" w:color="000000" w:fill="92CDDC"/>
                  <w:noWrap/>
                  <w:vAlign w:val="bottom"/>
                  <w:hideMark/>
                </w:tcPr>
                <w:p w14:paraId="6337DAEE" w14:textId="77777777" w:rsidR="001674FE" w:rsidRPr="001674FE" w:rsidRDefault="001674FE" w:rsidP="001674F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674F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37,68</w:t>
                  </w:r>
                </w:p>
              </w:tc>
            </w:tr>
          </w:tbl>
          <w:p w14:paraId="0F4304CF" w14:textId="42C3F701" w:rsidR="007F1ABC" w:rsidRPr="007F1ABC" w:rsidRDefault="007F1ABC" w:rsidP="007F1ABC">
            <w:pPr>
              <w:widowControl/>
              <w:autoSpaceDE/>
              <w:autoSpaceDN/>
              <w:adjustRightInd/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6F8DF54" w14:textId="3EFA2A50" w:rsidR="001674FE" w:rsidRDefault="001674FE" w:rsidP="001674FE"/>
    <w:tbl>
      <w:tblPr>
        <w:tblW w:w="4917" w:type="pct"/>
        <w:jc w:val="right"/>
        <w:tblLook w:val="04A0" w:firstRow="1" w:lastRow="0" w:firstColumn="1" w:lastColumn="0" w:noHBand="0" w:noVBand="1"/>
      </w:tblPr>
      <w:tblGrid>
        <w:gridCol w:w="7809"/>
        <w:gridCol w:w="1761"/>
        <w:gridCol w:w="1761"/>
        <w:gridCol w:w="1761"/>
        <w:gridCol w:w="1226"/>
      </w:tblGrid>
      <w:tr w:rsidR="001674FE" w:rsidRPr="001674FE" w14:paraId="2046169D" w14:textId="77777777" w:rsidTr="00094400">
        <w:trPr>
          <w:trHeight w:val="960"/>
          <w:tblHeader/>
          <w:jc w:val="right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F15430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DB8A10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IZVORNI PLAN ILI REBALANS ZA 2023. </w:t>
            </w: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F05982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TEKUĆI                           PLAN ZA 2023. </w:t>
            </w: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4ABD70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IZVRŠENJE </w:t>
            </w: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  <w:t>01.01-30.06.2023. EUR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F642757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INDEKS </w:t>
            </w:r>
          </w:p>
        </w:tc>
      </w:tr>
      <w:tr w:rsidR="001674FE" w:rsidRPr="001674FE" w14:paraId="7F76E236" w14:textId="77777777" w:rsidTr="00094400">
        <w:trPr>
          <w:trHeight w:val="240"/>
          <w:tblHeader/>
          <w:jc w:val="right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BDE4EF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A89247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A48B9E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311AAF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7D9895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 (3/2)*100</w:t>
            </w:r>
          </w:p>
        </w:tc>
      </w:tr>
      <w:tr w:rsidR="001674FE" w:rsidRPr="001674FE" w14:paraId="189FA9D6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0ED12B6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RAZDJEL 185 DRŽAVNI URED ZA REVIZIJU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0979E229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23E6020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49E8BD27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5.432.570,91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00AD6F9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37,68</w:t>
            </w:r>
          </w:p>
        </w:tc>
      </w:tr>
      <w:tr w:rsidR="001674FE" w:rsidRPr="001674FE" w14:paraId="73B92372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40433B61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GLAVA 18505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6E49C5E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F39FFF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0F1E7B6F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5.432.570,91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F7201B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37,68</w:t>
            </w:r>
          </w:p>
        </w:tc>
      </w:tr>
      <w:tr w:rsidR="001674FE" w:rsidRPr="001674FE" w14:paraId="53C32360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2091B551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22 FINANCIJSKI I FISKALNI SUSTAV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10E5A34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54B636E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6D663BA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5.432.570,91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060A49F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37,68</w:t>
            </w:r>
          </w:p>
        </w:tc>
      </w:tr>
      <w:tr w:rsidR="001674FE" w:rsidRPr="001674FE" w14:paraId="07732187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0030F3A5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2208 DJELOVANJE DRŽAVNOG UREDA ZA REVIZIJU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70FFA547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A7498AC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0611B45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5.432.570,91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7040F7E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37,68</w:t>
            </w:r>
          </w:p>
        </w:tc>
      </w:tr>
      <w:tr w:rsidR="001674FE" w:rsidRPr="001674FE" w14:paraId="29DC3C93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ABF8F"/>
            <w:vAlign w:val="bottom"/>
            <w:hideMark/>
          </w:tcPr>
          <w:p w14:paraId="66D9EBF7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A665000 ADMINISTRACIJA I UPRAVLJANJE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ABF8F"/>
            <w:noWrap/>
            <w:vAlign w:val="bottom"/>
            <w:hideMark/>
          </w:tcPr>
          <w:p w14:paraId="513E5E3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13.876.519,00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ABF8F"/>
            <w:noWrap/>
            <w:vAlign w:val="bottom"/>
            <w:hideMark/>
          </w:tcPr>
          <w:p w14:paraId="60B124A4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13.876.519,00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ABF8F"/>
            <w:noWrap/>
            <w:vAlign w:val="bottom"/>
            <w:hideMark/>
          </w:tcPr>
          <w:p w14:paraId="06D79E6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5.222.110,39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ABF8F"/>
            <w:noWrap/>
            <w:vAlign w:val="bottom"/>
            <w:hideMark/>
          </w:tcPr>
          <w:p w14:paraId="18E5257F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37,63</w:t>
            </w:r>
          </w:p>
        </w:tc>
      </w:tr>
      <w:tr w:rsidR="001674FE" w:rsidRPr="001674FE" w14:paraId="407D1DC0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vAlign w:val="bottom"/>
            <w:hideMark/>
          </w:tcPr>
          <w:p w14:paraId="010C992A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500" w:firstLine="90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IZVOR 11 OPĆI PRIHODI I PRIMICI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CC0DA"/>
            <w:noWrap/>
            <w:vAlign w:val="bottom"/>
            <w:hideMark/>
          </w:tcPr>
          <w:p w14:paraId="5B5C97DA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12.767.321,00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A3A7DDC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12.767.321,00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CC0DA"/>
            <w:noWrap/>
            <w:vAlign w:val="bottom"/>
            <w:hideMark/>
          </w:tcPr>
          <w:p w14:paraId="00FB22F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4.859.667,91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3D7805A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38,06</w:t>
            </w:r>
          </w:p>
        </w:tc>
      </w:tr>
      <w:tr w:rsidR="001674FE" w:rsidRPr="001674FE" w14:paraId="1222CA0A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1AEB2465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31 Rashodi za zaposlene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9E001C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8.519.079,00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31B0BC8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8.519.079,00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43E733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4.143.432,30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4AD6165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48,64</w:t>
            </w:r>
          </w:p>
        </w:tc>
      </w:tr>
      <w:tr w:rsidR="001674FE" w:rsidRPr="001674FE" w14:paraId="3777AC69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DA657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3111 Plaće za redovni rad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FD3471A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7.113.943,00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6EB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7.113.943,00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9B313C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3.432.433,36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CD6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48,25</w:t>
            </w:r>
          </w:p>
        </w:tc>
      </w:tr>
      <w:tr w:rsidR="001674FE" w:rsidRPr="001674FE" w14:paraId="0CD9435F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051DFB82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3113 Plaće za prekovremeni rad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A466904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26.545,00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A37A089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26.545,00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31678B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12.901,89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020FEB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48,60</w:t>
            </w:r>
          </w:p>
        </w:tc>
      </w:tr>
      <w:tr w:rsidR="001674FE" w:rsidRPr="001674FE" w14:paraId="52314EC1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A5B86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3121 Ostali rashodi za zaposlene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095D48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200.411,00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F3BF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200.411,00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8C1BBE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137.411,94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8A3F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68,57</w:t>
            </w:r>
          </w:p>
        </w:tc>
      </w:tr>
      <w:tr w:rsidR="001674FE" w:rsidRPr="001674FE" w14:paraId="3F3388A1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48A720F9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EA8C8A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1.178.180,00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C265A2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1.178.180,00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65C64F4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560.685,11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199AAA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47,59</w:t>
            </w:r>
          </w:p>
        </w:tc>
      </w:tr>
      <w:tr w:rsidR="001674FE" w:rsidRPr="001674FE" w14:paraId="6A9AC1DF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370D4D6C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460064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1.478.883,00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2DD5D5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1.478.883,00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1525EA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644.379,41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006A954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43,57</w:t>
            </w:r>
          </w:p>
        </w:tc>
      </w:tr>
      <w:tr w:rsidR="001674FE" w:rsidRPr="001674FE" w14:paraId="3D7FA5F9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4E0C775B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3211 Službena putovanja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F4BB4C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119.451,00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66209A9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119.451,00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A195F0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44.529,65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A605A9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37,28</w:t>
            </w:r>
          </w:p>
        </w:tc>
      </w:tr>
      <w:tr w:rsidR="001674FE" w:rsidRPr="001674FE" w14:paraId="6E646FE9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F22DD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3212 Naknade za prijevoz za rad na terenu i odvojeni život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0B95739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217.665,00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DE8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217.665,00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98BC89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92.943,75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2404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42,70</w:t>
            </w:r>
          </w:p>
        </w:tc>
      </w:tr>
      <w:tr w:rsidR="001674FE" w:rsidRPr="001674FE" w14:paraId="27C11C08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1E264246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3213 Stručno usavršavanje zaposlenika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CC92EF4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53.089,00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D1B10F9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53.089,00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266DB2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10.994,05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EF13D1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20,71</w:t>
            </w:r>
          </w:p>
        </w:tc>
      </w:tr>
      <w:tr w:rsidR="001674FE" w:rsidRPr="001674FE" w14:paraId="5574E253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D2ABC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F3D413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63.707,00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C449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63.707,00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B02F96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41.335,90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29A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64,88</w:t>
            </w:r>
          </w:p>
        </w:tc>
      </w:tr>
      <w:tr w:rsidR="001674FE" w:rsidRPr="001674FE" w14:paraId="606288A2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001B6605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3223 Energija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6257574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189.794,00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617C05A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189.794,00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83B236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76.281,18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FCAC13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40,19</w:t>
            </w:r>
          </w:p>
        </w:tc>
      </w:tr>
      <w:tr w:rsidR="001674FE" w:rsidRPr="001674FE" w14:paraId="2145CDC2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09727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053870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2.455,00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61B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2.455,00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F05A63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121,35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7C7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4,94</w:t>
            </w:r>
          </w:p>
        </w:tc>
      </w:tr>
      <w:tr w:rsidR="001674FE" w:rsidRPr="001674FE" w14:paraId="5B0C8330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0DF3591B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3225 Sitni inventar i autogume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BAE1B2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7.963,00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1557A4A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7.963,00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7416D2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2.638,23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4047BC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33,13</w:t>
            </w:r>
          </w:p>
        </w:tc>
      </w:tr>
      <w:tr w:rsidR="001674FE" w:rsidRPr="001674FE" w14:paraId="3B3B516C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1ADBF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3227 Službena radna i zaštitna odjeća i obuća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3431BA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3.651,00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AAE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3.651,00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C6DCE0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131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27,39</w:t>
            </w:r>
          </w:p>
        </w:tc>
      </w:tr>
      <w:tr w:rsidR="001674FE" w:rsidRPr="001674FE" w14:paraId="05FD435D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6DAF68E2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3231 Usluge telefona, pošte i prijevoza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D579F5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92.906,00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5887C3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92.906,00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010FE1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36.028,30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6F0FBEC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38,78</w:t>
            </w:r>
          </w:p>
        </w:tc>
      </w:tr>
      <w:tr w:rsidR="001674FE" w:rsidRPr="001674FE" w14:paraId="13E344FB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DF17E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1F65D2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172.924,00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1D4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172.924,00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94FCF3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55.475,65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2639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32,08</w:t>
            </w:r>
          </w:p>
        </w:tc>
      </w:tr>
      <w:tr w:rsidR="001674FE" w:rsidRPr="001674FE" w14:paraId="4EC15DEA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10DA16B8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3233 Usluge promidžbe i informiranja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9A659E7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7.964,00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DD3AA3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7.964,00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C35DBC4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4.190,82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93CDB9A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52,62</w:t>
            </w:r>
          </w:p>
        </w:tc>
      </w:tr>
      <w:tr w:rsidR="001674FE" w:rsidRPr="001674FE" w14:paraId="006FA6E8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CB1F9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3234 Komunalne usluge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28480B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53.089,00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A01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53.089,00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04851A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24.598,53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D387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46,33</w:t>
            </w:r>
          </w:p>
        </w:tc>
      </w:tr>
      <w:tr w:rsidR="001674FE" w:rsidRPr="001674FE" w14:paraId="0DB7C518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5662C2FC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3235 Zakupnine i najamnine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5DF19F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211.605,00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AF2C9B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211.605,00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F30DD19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102.578,35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09EF8B4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48,48</w:t>
            </w:r>
          </w:p>
        </w:tc>
      </w:tr>
      <w:tr w:rsidR="001674FE" w:rsidRPr="001674FE" w14:paraId="734DE263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0E9EE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3236 Zdravstvene i veterinarske usluge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9EB42DA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26.651,00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748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26.651,00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233E00C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074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74FE" w:rsidRPr="001674FE" w14:paraId="350C98C1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0DF2DC64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3237 Intelektualne i osobne usluge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8FD958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39.817,00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35D8A5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39.817,00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69238CC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19.445,48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299E5A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48,84</w:t>
            </w:r>
          </w:p>
        </w:tc>
      </w:tr>
      <w:tr w:rsidR="001674FE" w:rsidRPr="001674FE" w14:paraId="2A1334BD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CF077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3239 Ostale usluge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B1E29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155.995,00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A12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155.995,00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7886CDF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94.944,64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607C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60,86</w:t>
            </w:r>
          </w:p>
        </w:tc>
      </w:tr>
      <w:tr w:rsidR="001674FE" w:rsidRPr="001674FE" w14:paraId="0C733683" w14:textId="77777777" w:rsidTr="00094400">
        <w:trPr>
          <w:trHeight w:val="48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3DDAF946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499B844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19.908,00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83EC744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19.908,00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B6F6F3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8.696,44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D0B7AD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43,68</w:t>
            </w:r>
          </w:p>
        </w:tc>
      </w:tr>
      <w:tr w:rsidR="001674FE" w:rsidRPr="001674FE" w14:paraId="0607BD80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EF4DD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3292 Premije osiguranja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204A1B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2.655,00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DF9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2.655,00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D37C7C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24,55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C76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0,92</w:t>
            </w:r>
          </w:p>
        </w:tc>
      </w:tr>
      <w:tr w:rsidR="001674FE" w:rsidRPr="001674FE" w14:paraId="1729EDA5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1FD98C3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3293 Reprezentacija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8DA52B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14.600,00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AA3593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14.600,00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7A1A78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13.431,73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FA4FA7A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92,00</w:t>
            </w:r>
          </w:p>
        </w:tc>
      </w:tr>
      <w:tr w:rsidR="001674FE" w:rsidRPr="001674FE" w14:paraId="24D34CB4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E85D1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3294 Članarine i norme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CB0899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2.655,00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C6C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2.655,00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BC7F22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2.515,96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3DF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94,76</w:t>
            </w:r>
          </w:p>
        </w:tc>
      </w:tr>
      <w:tr w:rsidR="001674FE" w:rsidRPr="001674FE" w14:paraId="7F7DDD12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593267A9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3295 Pristojbe i naknade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DBFA92A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12.376,00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CC9AA3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12.376,00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F94DB4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5.405,60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CACE299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43,68</w:t>
            </w:r>
          </w:p>
        </w:tc>
      </w:tr>
      <w:tr w:rsidR="001674FE" w:rsidRPr="001674FE" w14:paraId="30AE42D6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70569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3299 Ostali nespomenuti rashodi poslovanja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B7490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7.963,00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D6F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7.963,00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EDB0077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7.199,25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CD6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90,41</w:t>
            </w:r>
          </w:p>
        </w:tc>
      </w:tr>
      <w:tr w:rsidR="001674FE" w:rsidRPr="001674FE" w14:paraId="2602A9BE" w14:textId="77777777" w:rsidTr="00094400">
        <w:trPr>
          <w:trHeight w:val="48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2846D1BA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FE8991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10.618,00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594532D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10.618,00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BC19C7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2135BF9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674FE" w:rsidRPr="001674FE" w14:paraId="61362797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69ADD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CDFFD0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10.618,00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FEB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10.618,00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CAD3C99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811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74FE" w:rsidRPr="001674FE" w14:paraId="12625E04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7599B188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43C9AE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37.923,00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440F6A5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37.923,00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E70081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9.726,18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4AF41F5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25,65</w:t>
            </w:r>
          </w:p>
        </w:tc>
      </w:tr>
      <w:tr w:rsidR="001674FE" w:rsidRPr="001674FE" w14:paraId="3E248C48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D6F08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4221 Uredska oprema i namještaj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8596CDC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9.542,00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FD6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9.542,00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C541FB4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9.527,10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25D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99,84</w:t>
            </w:r>
          </w:p>
        </w:tc>
      </w:tr>
      <w:tr w:rsidR="001674FE" w:rsidRPr="001674FE" w14:paraId="58C47568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1B267954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4222 Komunikacijska oprema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0956D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6.636,00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7547ED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6.636,00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F921189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1B7870A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74FE" w:rsidRPr="001674FE" w14:paraId="2FD1CAF8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8EA68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4223 Oprema za održavanje i zaštitu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3A5402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21.745,00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87C9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21.745,00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AB525E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199,08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E5E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0,92</w:t>
            </w:r>
          </w:p>
        </w:tc>
      </w:tr>
      <w:tr w:rsidR="001674FE" w:rsidRPr="001674FE" w14:paraId="255F5A26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1E646AF5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D67EAD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2.720.818,00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66A8BF3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2.720.818,00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2BBEEDA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62.130,02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2EC70D8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2,28</w:t>
            </w:r>
          </w:p>
        </w:tc>
      </w:tr>
      <w:tr w:rsidR="001674FE" w:rsidRPr="001674FE" w14:paraId="6F83E475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236AD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3C860A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2.720.818,00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4C99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2.720.818,00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CF734F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62.130,02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C81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2,28</w:t>
            </w:r>
          </w:p>
        </w:tc>
      </w:tr>
      <w:tr w:rsidR="001674FE" w:rsidRPr="001674FE" w14:paraId="0512F7B3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CC0DA"/>
            <w:vAlign w:val="bottom"/>
            <w:hideMark/>
          </w:tcPr>
          <w:p w14:paraId="31E04EFF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500" w:firstLine="90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IZVOR 31 VLASTITI PRIHODI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CCC0DA"/>
            <w:noWrap/>
            <w:vAlign w:val="bottom"/>
            <w:hideMark/>
          </w:tcPr>
          <w:p w14:paraId="05435519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190.991,00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CC0DA"/>
            <w:noWrap/>
            <w:vAlign w:val="bottom"/>
            <w:hideMark/>
          </w:tcPr>
          <w:p w14:paraId="0324460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190.991,00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CCC0DA"/>
            <w:noWrap/>
            <w:vAlign w:val="bottom"/>
            <w:hideMark/>
          </w:tcPr>
          <w:p w14:paraId="219E1E0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4.645,30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CC0DA"/>
            <w:noWrap/>
            <w:vAlign w:val="bottom"/>
            <w:hideMark/>
          </w:tcPr>
          <w:p w14:paraId="49F2DCF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2,43</w:t>
            </w:r>
          </w:p>
        </w:tc>
      </w:tr>
      <w:tr w:rsidR="001674FE" w:rsidRPr="001674FE" w14:paraId="2157E6DF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43B541F4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BB002C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184.355,00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A66B38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184.355,00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1012C5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4.645,30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50EBC3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2,52</w:t>
            </w:r>
          </w:p>
        </w:tc>
      </w:tr>
      <w:tr w:rsidR="001674FE" w:rsidRPr="001674FE" w14:paraId="0AC7AE33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4440BEC5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3211 Službena putovanja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2E3698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127.083,00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9543157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127.083,00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DF5B384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5F4C8CA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74FE" w:rsidRPr="001674FE" w14:paraId="62BE1939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29293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3231 Usluge telefona, pošte i prijevoza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B6DE62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13.200,00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03F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13.200,00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45CE5F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F60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74FE" w:rsidRPr="001674FE" w14:paraId="60973FC1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31DA7FD7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3237 Intelektualne i osobne usluge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66736A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26.472,00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0A9169C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26.472,00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1D54C5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4.645,30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EDF88F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17,55</w:t>
            </w:r>
          </w:p>
        </w:tc>
      </w:tr>
      <w:tr w:rsidR="001674FE" w:rsidRPr="001674FE" w14:paraId="18533D0D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5B40B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3293 Reprezentacija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F88D72C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17.600,00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904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17.600,00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6B2866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EC8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74FE" w:rsidRPr="001674FE" w14:paraId="2C371D93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4C59DEEF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ECA4E0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6.636,00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2220BFF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6.636,00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D70EA2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4FD4A7D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674FE" w:rsidRPr="001674FE" w14:paraId="271A935A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654A9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4222 Komunikacijska oprema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B9AC37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6.636,00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9D0A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6.636,00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BBD846A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B30C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74FE" w:rsidRPr="001674FE" w14:paraId="6AAF6CF0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CC0DA"/>
            <w:vAlign w:val="bottom"/>
            <w:hideMark/>
          </w:tcPr>
          <w:p w14:paraId="41939BD1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500" w:firstLine="90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IZVOR 5761 FOND SOLIDARNOSTI EU - potres ožujak 2020.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CCC0DA"/>
            <w:noWrap/>
            <w:vAlign w:val="bottom"/>
            <w:hideMark/>
          </w:tcPr>
          <w:p w14:paraId="56CD7CA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918.207,00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CC0DA"/>
            <w:noWrap/>
            <w:vAlign w:val="bottom"/>
            <w:hideMark/>
          </w:tcPr>
          <w:p w14:paraId="24335FA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918.207,00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CCC0DA"/>
            <w:noWrap/>
            <w:vAlign w:val="bottom"/>
            <w:hideMark/>
          </w:tcPr>
          <w:p w14:paraId="61E8FC07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357.797,18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CC0DA"/>
            <w:noWrap/>
            <w:vAlign w:val="bottom"/>
            <w:hideMark/>
          </w:tcPr>
          <w:p w14:paraId="4219967F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38,97</w:t>
            </w:r>
          </w:p>
        </w:tc>
      </w:tr>
      <w:tr w:rsidR="001674FE" w:rsidRPr="001674FE" w14:paraId="56D66261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66F3151E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67E094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918.207,00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C359E8F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918.207,00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010CAA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357.797,18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F3A9E44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38,97</w:t>
            </w:r>
          </w:p>
        </w:tc>
      </w:tr>
      <w:tr w:rsidR="001674FE" w:rsidRPr="001674FE" w14:paraId="401A18A1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9890E9B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A025BA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918.207,00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783CFF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918.207,00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6CF1C7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357.797,18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282D46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38,97</w:t>
            </w:r>
          </w:p>
        </w:tc>
      </w:tr>
      <w:tr w:rsidR="001674FE" w:rsidRPr="001674FE" w14:paraId="6BF3E15F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vAlign w:val="bottom"/>
            <w:hideMark/>
          </w:tcPr>
          <w:p w14:paraId="442FA357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K665001 INFORMATIZACIJA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ABF8F"/>
            <w:noWrap/>
            <w:vAlign w:val="bottom"/>
            <w:hideMark/>
          </w:tcPr>
          <w:p w14:paraId="729A2C0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355.450,00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14:paraId="1F98DAB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355.450,00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ABF8F"/>
            <w:noWrap/>
            <w:vAlign w:val="bottom"/>
            <w:hideMark/>
          </w:tcPr>
          <w:p w14:paraId="460AAEC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160.817,73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14:paraId="22DF4F59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45,24</w:t>
            </w:r>
          </w:p>
        </w:tc>
      </w:tr>
      <w:tr w:rsidR="001674FE" w:rsidRPr="001674FE" w14:paraId="78668271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CC0DA"/>
            <w:vAlign w:val="bottom"/>
            <w:hideMark/>
          </w:tcPr>
          <w:p w14:paraId="0619E3C4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500" w:firstLine="90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IZVOR 11 OPĆI PRIHODI I PRIMICI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CCC0DA"/>
            <w:noWrap/>
            <w:vAlign w:val="bottom"/>
            <w:hideMark/>
          </w:tcPr>
          <w:p w14:paraId="2A43793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337.339,00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CC0DA"/>
            <w:noWrap/>
            <w:vAlign w:val="bottom"/>
            <w:hideMark/>
          </w:tcPr>
          <w:p w14:paraId="798D465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337.339,00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CCC0DA"/>
            <w:noWrap/>
            <w:vAlign w:val="bottom"/>
            <w:hideMark/>
          </w:tcPr>
          <w:p w14:paraId="3BD01C8C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160.817,73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CC0DA"/>
            <w:noWrap/>
            <w:vAlign w:val="bottom"/>
            <w:hideMark/>
          </w:tcPr>
          <w:p w14:paraId="39E3EF77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47,67</w:t>
            </w:r>
          </w:p>
        </w:tc>
      </w:tr>
      <w:tr w:rsidR="001674FE" w:rsidRPr="001674FE" w14:paraId="10E6F426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0FA71D91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926088A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319.622,00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32246D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319.622,00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5045C2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160.290,23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34F366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50,15</w:t>
            </w:r>
          </w:p>
        </w:tc>
      </w:tr>
      <w:tr w:rsidR="001674FE" w:rsidRPr="001674FE" w14:paraId="3EABE84D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07310A69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F6915E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3.982,00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D79AB0F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3.982,00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FA4598F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941,48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F0C873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23,64</w:t>
            </w:r>
          </w:p>
        </w:tc>
      </w:tr>
      <w:tr w:rsidR="001674FE" w:rsidRPr="001674FE" w14:paraId="17B8D620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BA8F6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3235 Zakupnine i najamnine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88DE12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78.306,00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4B5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78.306,00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76E2EF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16.976,53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4B7C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21,68</w:t>
            </w:r>
          </w:p>
        </w:tc>
      </w:tr>
      <w:tr w:rsidR="001674FE" w:rsidRPr="001674FE" w14:paraId="739A865B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28FB49B1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3238 Računalne usluge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B46CA64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237.334,00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5CF35E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237.334,00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9545F2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142.372,22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4D3FCE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59,99</w:t>
            </w:r>
          </w:p>
        </w:tc>
      </w:tr>
      <w:tr w:rsidR="001674FE" w:rsidRPr="001674FE" w14:paraId="2D9E2AC8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0A2139BD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7B0B1B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17.717,00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09DCFAF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17.717,00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135342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527,50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11DC1BC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2,98</w:t>
            </w:r>
          </w:p>
        </w:tc>
      </w:tr>
      <w:tr w:rsidR="001674FE" w:rsidRPr="001674FE" w14:paraId="4C44766B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27DBFA32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4221 Uredska oprema i namještaj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D1A2B34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17.717,00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FF837F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17.717,00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087E2E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527,50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818D8D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2,98</w:t>
            </w:r>
          </w:p>
        </w:tc>
      </w:tr>
      <w:tr w:rsidR="001674FE" w:rsidRPr="001674FE" w14:paraId="6057588C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vAlign w:val="bottom"/>
            <w:hideMark/>
          </w:tcPr>
          <w:p w14:paraId="797FC26E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500" w:firstLine="90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IZVOR 31 VLASTITI PRIHODI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CC0DA"/>
            <w:noWrap/>
            <w:vAlign w:val="bottom"/>
            <w:hideMark/>
          </w:tcPr>
          <w:p w14:paraId="3552F4D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18.111,00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4A86BD5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18.111,00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CC0DA"/>
            <w:noWrap/>
            <w:vAlign w:val="bottom"/>
            <w:hideMark/>
          </w:tcPr>
          <w:p w14:paraId="2E1A43B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40A3A0A9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674FE" w:rsidRPr="001674FE" w14:paraId="0C83AA6E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11ECD4F2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5B1F279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18.111,00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56AFEC64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18.111,00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60C8967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19FFFC6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674FE" w:rsidRPr="001674FE" w14:paraId="6AC4F31E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E06B8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4221 Uredska oprema i namještaj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AC482A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18.111,00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46C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18.111,00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DAB6C6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67E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74FE" w:rsidRPr="001674FE" w14:paraId="56411603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ABF8F"/>
            <w:vAlign w:val="bottom"/>
            <w:hideMark/>
          </w:tcPr>
          <w:p w14:paraId="20AFC80D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K665002 OBNOVA VOZNOG PARKA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ABF8F"/>
            <w:noWrap/>
            <w:vAlign w:val="bottom"/>
            <w:hideMark/>
          </w:tcPr>
          <w:p w14:paraId="129A61D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184.019,00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ABF8F"/>
            <w:noWrap/>
            <w:vAlign w:val="bottom"/>
            <w:hideMark/>
          </w:tcPr>
          <w:p w14:paraId="47A7EA5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184.019,00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ABF8F"/>
            <w:noWrap/>
            <w:vAlign w:val="bottom"/>
            <w:hideMark/>
          </w:tcPr>
          <w:p w14:paraId="0FD4F94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49.642,79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ABF8F"/>
            <w:noWrap/>
            <w:vAlign w:val="bottom"/>
            <w:hideMark/>
          </w:tcPr>
          <w:p w14:paraId="786BAFB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26,98</w:t>
            </w:r>
          </w:p>
        </w:tc>
      </w:tr>
      <w:tr w:rsidR="001674FE" w:rsidRPr="001674FE" w14:paraId="40632145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vAlign w:val="bottom"/>
            <w:hideMark/>
          </w:tcPr>
          <w:p w14:paraId="19F647C9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500" w:firstLine="90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IZVOR 11 OPĆI PRIHODI I PRIMICI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CC0DA"/>
            <w:noWrap/>
            <w:vAlign w:val="bottom"/>
            <w:hideMark/>
          </w:tcPr>
          <w:p w14:paraId="182CA39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184.019,00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38BB85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184.019,00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CC0DA"/>
            <w:noWrap/>
            <w:vAlign w:val="bottom"/>
            <w:hideMark/>
          </w:tcPr>
          <w:p w14:paraId="222B79BC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49.642,79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78E9E78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26,98</w:t>
            </w:r>
          </w:p>
        </w:tc>
      </w:tr>
      <w:tr w:rsidR="001674FE" w:rsidRPr="001674FE" w14:paraId="54169A6C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36003300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0B16629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53.296,00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70A9009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53.296,00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E88AEEC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16.506,42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7CAB563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30,97</w:t>
            </w:r>
          </w:p>
        </w:tc>
      </w:tr>
      <w:tr w:rsidR="001674FE" w:rsidRPr="001674FE" w14:paraId="23762993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F0E8F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3223 Energija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24E37F3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23.226,00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415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23.226,00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36986B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8.139,83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228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35,05</w:t>
            </w:r>
          </w:p>
        </w:tc>
      </w:tr>
      <w:tr w:rsidR="001674FE" w:rsidRPr="001674FE" w14:paraId="55EB2D71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0725BD67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DDFD97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199,00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FA62A7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199,00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4B792E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46,90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18AD3C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23,57</w:t>
            </w:r>
          </w:p>
        </w:tc>
      </w:tr>
      <w:tr w:rsidR="001674FE" w:rsidRPr="001674FE" w14:paraId="363E38E0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B3213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3225 Sitni inventar i autogume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BFCDD9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6.645,00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D54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6.645,00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31EB0D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2.759,00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6D8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41,52</w:t>
            </w:r>
          </w:p>
        </w:tc>
      </w:tr>
      <w:tr w:rsidR="001674FE" w:rsidRPr="001674FE" w14:paraId="5EE701D5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0C18B8E1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B79388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10.618,00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479592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10.618,00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E5DC7B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4.344,02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EC2B6AF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40,91</w:t>
            </w:r>
          </w:p>
        </w:tc>
      </w:tr>
      <w:tr w:rsidR="001674FE" w:rsidRPr="001674FE" w14:paraId="0E6CC369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E334D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3239 Ostale usluge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042F287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4.645,00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11EA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4.645,00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13F150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678,08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766A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14,60</w:t>
            </w:r>
          </w:p>
        </w:tc>
      </w:tr>
      <w:tr w:rsidR="001674FE" w:rsidRPr="001674FE" w14:paraId="3C694214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D915EBE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3292 Premije osiguranja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CECA9CA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7.963,00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E3A938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7.963,00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839B600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538,59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907D45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6,76</w:t>
            </w:r>
          </w:p>
        </w:tc>
      </w:tr>
      <w:tr w:rsidR="001674FE" w:rsidRPr="001674FE" w14:paraId="1C8CAD7E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2D18CF82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34 Financijski rashodi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BDD8AB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14.412,00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D1E615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14.412,00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188696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5.903,48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940230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40,96</w:t>
            </w:r>
          </w:p>
        </w:tc>
      </w:tr>
      <w:tr w:rsidR="001674FE" w:rsidRPr="001674FE" w14:paraId="6FC56806" w14:textId="77777777" w:rsidTr="00094400">
        <w:trPr>
          <w:trHeight w:val="48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B48EFC8" w14:textId="77777777" w:rsid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 xml:space="preserve">3423 Kamate za primljene kredite i zajmove od kreditnih i ostalih institucija izvan </w:t>
            </w:r>
          </w:p>
          <w:p w14:paraId="5BE88E78" w14:textId="1CDABA4C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      </w:t>
            </w: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javnog sektora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3AE6751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14.412,00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4BE3A1C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14.412,00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0C81A0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5.903,48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79BD19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1674FE">
              <w:rPr>
                <w:rFonts w:ascii="Calibri" w:hAnsi="Calibri"/>
                <w:color w:val="FFFFFF"/>
                <w:sz w:val="18"/>
                <w:szCs w:val="18"/>
              </w:rPr>
              <w:t>40,96</w:t>
            </w:r>
          </w:p>
        </w:tc>
      </w:tr>
      <w:tr w:rsidR="001674FE" w:rsidRPr="001674FE" w14:paraId="6B196CD4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03348EEB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25B6DA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116.311,00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88AF79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116.311,00</w:t>
            </w:r>
          </w:p>
        </w:tc>
        <w:tc>
          <w:tcPr>
            <w:tcW w:w="61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64A1F3E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27.232,89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49D8C3A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23,41</w:t>
            </w:r>
          </w:p>
        </w:tc>
      </w:tr>
      <w:tr w:rsidR="001674FE" w:rsidRPr="001674FE" w14:paraId="6A0088B8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4970E019" w14:textId="77777777" w:rsidR="001674FE" w:rsidRPr="001674FE" w:rsidRDefault="001674FE" w:rsidP="001674FE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4231 Prijevozna sredstva u cestovnom prometu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A520C42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116.311,00</w:t>
            </w:r>
          </w:p>
        </w:tc>
        <w:tc>
          <w:tcPr>
            <w:tcW w:w="61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8ACE60B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116.311,00</w:t>
            </w:r>
          </w:p>
        </w:tc>
        <w:tc>
          <w:tcPr>
            <w:tcW w:w="61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C01F1F6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color w:val="000000"/>
                <w:sz w:val="18"/>
                <w:szCs w:val="18"/>
              </w:rPr>
              <w:t>27.232,89</w:t>
            </w:r>
          </w:p>
        </w:tc>
        <w:tc>
          <w:tcPr>
            <w:tcW w:w="42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14:paraId="21AC4C87" w14:textId="4A7C1CCE" w:rsidR="001674FE" w:rsidRPr="001674FE" w:rsidRDefault="00094400" w:rsidP="00094400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094400">
              <w:rPr>
                <w:rFonts w:ascii="Calibri" w:hAnsi="Calibri"/>
                <w:color w:val="FFFFFF"/>
                <w:sz w:val="18"/>
                <w:szCs w:val="18"/>
              </w:rPr>
              <w:t>2323,41</w:t>
            </w:r>
            <w:r w:rsidRPr="00094400">
              <w:rPr>
                <w:rFonts w:ascii="Calibri" w:hAnsi="Calibri"/>
                <w:sz w:val="18"/>
                <w:szCs w:val="18"/>
              </w:rPr>
              <w:t>23,41</w:t>
            </w:r>
          </w:p>
        </w:tc>
      </w:tr>
      <w:tr w:rsidR="001674FE" w:rsidRPr="001674FE" w14:paraId="5F967B65" w14:textId="77777777" w:rsidTr="00094400">
        <w:trPr>
          <w:trHeight w:val="240"/>
          <w:jc w:val="right"/>
        </w:trPr>
        <w:tc>
          <w:tcPr>
            <w:tcW w:w="2726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000000" w:fill="92CDDC"/>
            <w:noWrap/>
            <w:vAlign w:val="bottom"/>
            <w:hideMark/>
          </w:tcPr>
          <w:p w14:paraId="3189E518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Ukupni zbroj</w:t>
            </w:r>
          </w:p>
        </w:tc>
        <w:tc>
          <w:tcPr>
            <w:tcW w:w="615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000000" w:fill="92CDDC"/>
            <w:noWrap/>
            <w:vAlign w:val="bottom"/>
            <w:hideMark/>
          </w:tcPr>
          <w:p w14:paraId="122692ED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615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000000" w:fill="92CDDC"/>
            <w:noWrap/>
            <w:vAlign w:val="bottom"/>
            <w:hideMark/>
          </w:tcPr>
          <w:p w14:paraId="6CDF5354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14.415.988,00</w:t>
            </w:r>
          </w:p>
        </w:tc>
        <w:tc>
          <w:tcPr>
            <w:tcW w:w="615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000000" w:fill="92CDDC"/>
            <w:noWrap/>
            <w:vAlign w:val="bottom"/>
            <w:hideMark/>
          </w:tcPr>
          <w:p w14:paraId="4E8CB76C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5.432.570,91</w:t>
            </w:r>
          </w:p>
        </w:tc>
        <w:tc>
          <w:tcPr>
            <w:tcW w:w="428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000000" w:fill="92CDDC"/>
            <w:noWrap/>
            <w:vAlign w:val="bottom"/>
            <w:hideMark/>
          </w:tcPr>
          <w:p w14:paraId="07659875" w14:textId="77777777" w:rsidR="001674FE" w:rsidRPr="001674FE" w:rsidRDefault="001674FE" w:rsidP="001674F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674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37,68</w:t>
            </w:r>
          </w:p>
        </w:tc>
      </w:tr>
    </w:tbl>
    <w:p w14:paraId="147B5912" w14:textId="77777777" w:rsidR="001674FE" w:rsidRPr="001674FE" w:rsidRDefault="001674FE" w:rsidP="001674FE">
      <w:pPr>
        <w:sectPr w:rsidR="001674FE" w:rsidRPr="001674FE" w:rsidSect="00F82794">
          <w:pgSz w:w="16838" w:h="11906" w:orient="landscape" w:code="9"/>
          <w:pgMar w:top="1134" w:right="1134" w:bottom="1134" w:left="1134" w:header="567" w:footer="567" w:gutter="0"/>
          <w:cols w:space="708"/>
          <w:docGrid w:linePitch="360"/>
        </w:sectPr>
      </w:pPr>
    </w:p>
    <w:p w14:paraId="02AC1F63" w14:textId="694BA304" w:rsidR="00842324" w:rsidRPr="00CB6396" w:rsidRDefault="00CB6396" w:rsidP="00AF3F3B">
      <w:pPr>
        <w:pStyle w:val="Naslov2"/>
        <w:numPr>
          <w:ilvl w:val="1"/>
          <w:numId w:val="23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</w:t>
      </w:r>
      <w:bookmarkStart w:id="5" w:name="_Toc144715230"/>
      <w:r w:rsidR="0086357B" w:rsidRPr="00CB6396">
        <w:rPr>
          <w:rFonts w:ascii="Times New Roman" w:hAnsi="Times New Roman" w:cs="Times New Roman"/>
          <w:b/>
          <w:color w:val="auto"/>
          <w:sz w:val="24"/>
          <w:szCs w:val="24"/>
        </w:rPr>
        <w:t>Obrazloženje</w:t>
      </w:r>
      <w:r w:rsidR="007D1F54" w:rsidRPr="00CB63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polugodišnjeg izvještaja o izvršenju</w:t>
      </w:r>
      <w:r w:rsidR="0086357B" w:rsidRPr="00CB63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financijskog plana</w:t>
      </w:r>
      <w:bookmarkEnd w:id="4"/>
      <w:r w:rsidR="007D1F54" w:rsidRPr="00CB63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F24FC" w:rsidRPr="00CB6396">
        <w:rPr>
          <w:rFonts w:ascii="Times New Roman" w:hAnsi="Times New Roman" w:cs="Times New Roman"/>
          <w:b/>
          <w:color w:val="auto"/>
          <w:sz w:val="24"/>
          <w:szCs w:val="24"/>
        </w:rPr>
        <w:br/>
        <w:t xml:space="preserve">    </w:t>
      </w:r>
      <w:r w:rsidR="007D1F54" w:rsidRPr="00CB6396">
        <w:rPr>
          <w:rFonts w:ascii="Times New Roman" w:hAnsi="Times New Roman" w:cs="Times New Roman"/>
          <w:b/>
          <w:color w:val="auto"/>
          <w:sz w:val="24"/>
          <w:szCs w:val="24"/>
        </w:rPr>
        <w:t>za 2023.</w:t>
      </w:r>
      <w:bookmarkEnd w:id="5"/>
    </w:p>
    <w:p w14:paraId="49C659A2" w14:textId="77777777" w:rsidR="00AB55D8" w:rsidRPr="00CB6396" w:rsidRDefault="00AB55D8" w:rsidP="002F24FC">
      <w:pPr>
        <w:pStyle w:val="Naslov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94601FF" w14:textId="66E70C69" w:rsidR="00842324" w:rsidRPr="00CB6396" w:rsidRDefault="003C6EE2" w:rsidP="007D1F5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  <w:r w:rsidR="007D1F54" w:rsidRPr="00CB6396">
        <w:rPr>
          <w:rFonts w:ascii="Times New Roman" w:hAnsi="Times New Roman"/>
          <w:color w:val="000000" w:themeColor="text1"/>
        </w:rPr>
        <w:t>Obrazloženje polugodišnjeg</w:t>
      </w:r>
      <w:r w:rsidR="00EF217B" w:rsidRPr="00CB6396">
        <w:rPr>
          <w:rFonts w:ascii="Times New Roman" w:hAnsi="Times New Roman"/>
          <w:color w:val="000000" w:themeColor="text1"/>
        </w:rPr>
        <w:t xml:space="preserve"> </w:t>
      </w:r>
      <w:r w:rsidR="007D1F54" w:rsidRPr="00CB6396">
        <w:rPr>
          <w:rFonts w:ascii="Times New Roman" w:hAnsi="Times New Roman"/>
          <w:color w:val="000000" w:themeColor="text1"/>
        </w:rPr>
        <w:t xml:space="preserve">izvještaja o izvršenju financijskog plana </w:t>
      </w:r>
      <w:r w:rsidR="002F24FC" w:rsidRPr="00CB6396">
        <w:rPr>
          <w:rFonts w:ascii="Times New Roman" w:hAnsi="Times New Roman"/>
          <w:color w:val="000000" w:themeColor="text1"/>
        </w:rPr>
        <w:t xml:space="preserve">se sastoji od </w:t>
      </w:r>
      <w:r w:rsidR="00AB55D8" w:rsidRPr="00CB6396">
        <w:rPr>
          <w:rFonts w:ascii="Times New Roman" w:hAnsi="Times New Roman"/>
          <w:color w:val="000000" w:themeColor="text1"/>
        </w:rPr>
        <w:t xml:space="preserve"> obrazloženj</w:t>
      </w:r>
      <w:r w:rsidR="002F24FC" w:rsidRPr="00CB6396">
        <w:rPr>
          <w:rFonts w:ascii="Times New Roman" w:hAnsi="Times New Roman"/>
          <w:color w:val="000000" w:themeColor="text1"/>
        </w:rPr>
        <w:t>a</w:t>
      </w:r>
      <w:r w:rsidR="00AB55D8" w:rsidRPr="00CB6396">
        <w:rPr>
          <w:rFonts w:ascii="Times New Roman" w:hAnsi="Times New Roman"/>
          <w:color w:val="000000" w:themeColor="text1"/>
        </w:rPr>
        <w:t xml:space="preserve"> općeg dijela </w:t>
      </w:r>
      <w:r w:rsidR="007D1F54" w:rsidRPr="00CB6396">
        <w:rPr>
          <w:rFonts w:ascii="Times New Roman" w:hAnsi="Times New Roman"/>
          <w:color w:val="000000" w:themeColor="text1"/>
        </w:rPr>
        <w:t xml:space="preserve">izvještaja o izvršenju financijskog </w:t>
      </w:r>
      <w:r w:rsidR="002F24FC" w:rsidRPr="00CB6396">
        <w:rPr>
          <w:rFonts w:ascii="Times New Roman" w:hAnsi="Times New Roman"/>
          <w:color w:val="000000" w:themeColor="text1"/>
        </w:rPr>
        <w:t xml:space="preserve">plana unutar kojeg se obrazlaže ostvarenje prihoda i rashoda, primitaka i izdataka te prijenosa sredstava iz prethodne godine u sljedeću godinu. </w:t>
      </w:r>
    </w:p>
    <w:p w14:paraId="33976C0F" w14:textId="30CC9472" w:rsidR="00842324" w:rsidRPr="00CB6396" w:rsidRDefault="00842324" w:rsidP="0084232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3367A970" w14:textId="77777777" w:rsidR="000D289D" w:rsidRPr="00CB6396" w:rsidRDefault="000D289D" w:rsidP="0084232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3D239551" w14:textId="00E220AD" w:rsidR="00842324" w:rsidRPr="00CB6396" w:rsidRDefault="00842324" w:rsidP="00657835">
      <w:pPr>
        <w:pStyle w:val="Naslov3"/>
        <w:numPr>
          <w:ilvl w:val="2"/>
          <w:numId w:val="23"/>
        </w:numPr>
        <w:rPr>
          <w:rFonts w:ascii="Times New Roman" w:hAnsi="Times New Roman" w:cs="Times New Roman"/>
          <w:b/>
          <w:color w:val="auto"/>
        </w:rPr>
      </w:pPr>
      <w:bookmarkStart w:id="6" w:name="_Toc116889210"/>
      <w:bookmarkStart w:id="7" w:name="_Toc144715231"/>
      <w:r w:rsidRPr="00CB6396">
        <w:rPr>
          <w:rFonts w:ascii="Times New Roman" w:hAnsi="Times New Roman" w:cs="Times New Roman"/>
          <w:b/>
          <w:color w:val="auto"/>
        </w:rPr>
        <w:t>Obrazloženje općeg dijela</w:t>
      </w:r>
      <w:r w:rsidR="00657835" w:rsidRPr="00CB6396">
        <w:rPr>
          <w:rFonts w:ascii="Times New Roman" w:hAnsi="Times New Roman" w:cs="Times New Roman"/>
          <w:b/>
          <w:color w:val="auto"/>
        </w:rPr>
        <w:t xml:space="preserve"> izvršenja</w:t>
      </w:r>
      <w:r w:rsidRPr="00CB6396">
        <w:rPr>
          <w:rFonts w:ascii="Times New Roman" w:hAnsi="Times New Roman" w:cs="Times New Roman"/>
          <w:b/>
          <w:color w:val="auto"/>
        </w:rPr>
        <w:t xml:space="preserve"> financijskog plana</w:t>
      </w:r>
      <w:bookmarkEnd w:id="6"/>
      <w:bookmarkEnd w:id="7"/>
    </w:p>
    <w:p w14:paraId="6BBB001F" w14:textId="0244310C" w:rsidR="00657835" w:rsidRPr="00CB6396" w:rsidRDefault="00657835" w:rsidP="00657835">
      <w:pPr>
        <w:rPr>
          <w:rFonts w:ascii="Times New Roman" w:hAnsi="Times New Roman"/>
        </w:rPr>
      </w:pPr>
    </w:p>
    <w:p w14:paraId="309D3AAF" w14:textId="6DE78AD3" w:rsidR="003C10DE" w:rsidRPr="00CB6396" w:rsidRDefault="00657835" w:rsidP="003C10DE">
      <w:pPr>
        <w:ind w:firstLine="360"/>
        <w:rPr>
          <w:rFonts w:ascii="Times New Roman" w:hAnsi="Times New Roman"/>
        </w:rPr>
      </w:pPr>
      <w:r w:rsidRPr="00CB6396">
        <w:rPr>
          <w:rFonts w:ascii="Times New Roman" w:hAnsi="Times New Roman"/>
        </w:rPr>
        <w:t>Obrazloženje općeg dijela izvršenja financijskog plana sadrži obr</w:t>
      </w:r>
      <w:r w:rsidR="003C10DE" w:rsidRPr="00CB6396">
        <w:rPr>
          <w:rFonts w:ascii="Times New Roman" w:hAnsi="Times New Roman"/>
        </w:rPr>
        <w:t>azloženje prihoda i primitaka,</w:t>
      </w:r>
      <w:r w:rsidRPr="00CB6396">
        <w:rPr>
          <w:rFonts w:ascii="Times New Roman" w:hAnsi="Times New Roman"/>
        </w:rPr>
        <w:t xml:space="preserve"> rashoda i izdataka</w:t>
      </w:r>
      <w:r w:rsidR="003C10DE" w:rsidRPr="00CB6396">
        <w:rPr>
          <w:rFonts w:ascii="Times New Roman" w:hAnsi="Times New Roman"/>
        </w:rPr>
        <w:t xml:space="preserve"> te </w:t>
      </w:r>
      <w:r w:rsidR="00DE0299" w:rsidRPr="00CB6396">
        <w:rPr>
          <w:rFonts w:ascii="Times New Roman" w:hAnsi="Times New Roman"/>
        </w:rPr>
        <w:t>p</w:t>
      </w:r>
      <w:r w:rsidR="00E04F5A" w:rsidRPr="00CB6396">
        <w:rPr>
          <w:rFonts w:ascii="Times New Roman" w:hAnsi="Times New Roman"/>
        </w:rPr>
        <w:t>rijenos sredstava iz prethodne godine u sljedeću godinu</w:t>
      </w:r>
    </w:p>
    <w:p w14:paraId="0D1A3FCD" w14:textId="574BF7CA" w:rsidR="00657835" w:rsidRPr="00CB6396" w:rsidRDefault="00657835" w:rsidP="003C10DE">
      <w:pPr>
        <w:rPr>
          <w:rFonts w:ascii="Times New Roman" w:hAnsi="Times New Roman"/>
        </w:rPr>
      </w:pPr>
      <w:r w:rsidRPr="00CB6396">
        <w:rPr>
          <w:rFonts w:ascii="Times New Roman" w:hAnsi="Times New Roman"/>
        </w:rPr>
        <w:t>ostvarenih u razdoblju od 1. siječnja do 30. lipnja 2023.</w:t>
      </w:r>
    </w:p>
    <w:p w14:paraId="3BF6C1D7" w14:textId="4A9E3C90" w:rsidR="00842324" w:rsidRPr="00CB6396" w:rsidRDefault="00842324" w:rsidP="0084232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1E875E3A" w14:textId="733DDB35" w:rsidR="00AB55D8" w:rsidRPr="00CB6396" w:rsidRDefault="00FD0964" w:rsidP="0051670A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  <w:r w:rsidR="00AB55D8" w:rsidRPr="00CB6396">
        <w:rPr>
          <w:rFonts w:ascii="Times New Roman" w:hAnsi="Times New Roman"/>
          <w:color w:val="000000" w:themeColor="text1"/>
        </w:rPr>
        <w:t xml:space="preserve">Ukupni </w:t>
      </w:r>
      <w:r w:rsidR="00AB55D8" w:rsidRPr="00CB6396">
        <w:rPr>
          <w:rFonts w:ascii="Times New Roman" w:hAnsi="Times New Roman"/>
          <w:b/>
          <w:color w:val="000000" w:themeColor="text1"/>
        </w:rPr>
        <w:t>prihodi i primici</w:t>
      </w:r>
      <w:r w:rsidR="00AB55D8" w:rsidRPr="00CB6396">
        <w:rPr>
          <w:rFonts w:ascii="Times New Roman" w:hAnsi="Times New Roman"/>
          <w:color w:val="000000" w:themeColor="text1"/>
        </w:rPr>
        <w:t xml:space="preserve"> </w:t>
      </w:r>
      <w:r w:rsidR="0051670A" w:rsidRPr="00CB6396">
        <w:rPr>
          <w:rFonts w:ascii="Times New Roman" w:hAnsi="Times New Roman"/>
          <w:color w:val="000000" w:themeColor="text1"/>
        </w:rPr>
        <w:t>izvršen</w:t>
      </w:r>
      <w:r w:rsidR="00BD44E9" w:rsidRPr="00CB6396">
        <w:rPr>
          <w:rFonts w:ascii="Times New Roman" w:hAnsi="Times New Roman"/>
          <w:color w:val="000000" w:themeColor="text1"/>
        </w:rPr>
        <w:t>i su u iznosu od 5.</w:t>
      </w:r>
      <w:r w:rsidR="00692205" w:rsidRPr="00CB6396">
        <w:rPr>
          <w:rFonts w:ascii="Times New Roman" w:hAnsi="Times New Roman"/>
          <w:color w:val="000000" w:themeColor="text1"/>
        </w:rPr>
        <w:t>530.286,71</w:t>
      </w:r>
      <w:r w:rsidR="00BD44E9" w:rsidRPr="00CB6396">
        <w:rPr>
          <w:rFonts w:ascii="Times New Roman" w:hAnsi="Times New Roman"/>
          <w:color w:val="000000" w:themeColor="text1"/>
        </w:rPr>
        <w:t xml:space="preserve"> EUR ili </w:t>
      </w:r>
      <w:r w:rsidR="00692205" w:rsidRPr="00CB6396">
        <w:rPr>
          <w:rFonts w:ascii="Times New Roman" w:hAnsi="Times New Roman"/>
          <w:color w:val="000000" w:themeColor="text1"/>
        </w:rPr>
        <w:t>38,62</w:t>
      </w:r>
      <w:r w:rsidR="00BD44E9" w:rsidRPr="00CB6396">
        <w:rPr>
          <w:rFonts w:ascii="Times New Roman" w:hAnsi="Times New Roman"/>
          <w:color w:val="000000" w:themeColor="text1"/>
        </w:rPr>
        <w:t xml:space="preserve"> % u odnosu na tekući plan za 2023. i veći su za </w:t>
      </w:r>
      <w:r w:rsidR="004745A2" w:rsidRPr="00CB6396">
        <w:rPr>
          <w:rFonts w:ascii="Times New Roman" w:hAnsi="Times New Roman"/>
          <w:color w:val="000000" w:themeColor="text1"/>
        </w:rPr>
        <w:t>345.186,10</w:t>
      </w:r>
      <w:r w:rsidR="00BD44E9" w:rsidRPr="00CB6396">
        <w:rPr>
          <w:rFonts w:ascii="Times New Roman" w:hAnsi="Times New Roman"/>
          <w:color w:val="000000" w:themeColor="text1"/>
        </w:rPr>
        <w:t xml:space="preserve"> EUR u odnosu na prethodno izvještajno razdoblje, </w:t>
      </w:r>
      <w:r w:rsidR="00DB137C" w:rsidRPr="00CB6396">
        <w:rPr>
          <w:rFonts w:ascii="Times New Roman" w:hAnsi="Times New Roman"/>
          <w:color w:val="000000" w:themeColor="text1"/>
        </w:rPr>
        <w:t xml:space="preserve">a </w:t>
      </w:r>
      <w:r w:rsidR="00CF42FD" w:rsidRPr="00CB6396">
        <w:rPr>
          <w:rFonts w:ascii="Times New Roman" w:hAnsi="Times New Roman"/>
          <w:color w:val="000000" w:themeColor="text1"/>
        </w:rPr>
        <w:t>o</w:t>
      </w:r>
      <w:r w:rsidR="00AB55D8" w:rsidRPr="00CB6396">
        <w:rPr>
          <w:rFonts w:ascii="Times New Roman" w:hAnsi="Times New Roman"/>
          <w:color w:val="000000" w:themeColor="text1"/>
        </w:rPr>
        <w:t xml:space="preserve">dnose se na </w:t>
      </w:r>
      <w:r w:rsidR="0051670A" w:rsidRPr="00CB6396">
        <w:rPr>
          <w:rFonts w:ascii="Times New Roman" w:hAnsi="Times New Roman"/>
          <w:i/>
          <w:color w:val="000000" w:themeColor="text1"/>
        </w:rPr>
        <w:t>kapitalne pomoći od institucija i tijela EU</w:t>
      </w:r>
      <w:r w:rsidR="0051670A" w:rsidRPr="00CB6396">
        <w:rPr>
          <w:rFonts w:ascii="Times New Roman" w:hAnsi="Times New Roman"/>
          <w:color w:val="000000" w:themeColor="text1"/>
        </w:rPr>
        <w:t xml:space="preserve"> u iznosu od 357.797,</w:t>
      </w:r>
      <w:r w:rsidR="005C4661" w:rsidRPr="00CB6396">
        <w:rPr>
          <w:rFonts w:ascii="Times New Roman" w:hAnsi="Times New Roman"/>
          <w:color w:val="000000" w:themeColor="text1"/>
        </w:rPr>
        <w:t>18</w:t>
      </w:r>
      <w:r w:rsidR="0051670A" w:rsidRPr="00CB6396">
        <w:rPr>
          <w:rFonts w:ascii="Times New Roman" w:hAnsi="Times New Roman"/>
          <w:color w:val="000000" w:themeColor="text1"/>
        </w:rPr>
        <w:t xml:space="preserve"> EUR, </w:t>
      </w:r>
      <w:r w:rsidR="0051670A" w:rsidRPr="00CB6396">
        <w:rPr>
          <w:rFonts w:ascii="Times New Roman" w:hAnsi="Times New Roman"/>
          <w:i/>
          <w:color w:val="000000" w:themeColor="text1"/>
        </w:rPr>
        <w:t>p</w:t>
      </w:r>
      <w:r w:rsidR="00AB55D8" w:rsidRPr="00CB6396">
        <w:rPr>
          <w:rFonts w:ascii="Times New Roman" w:hAnsi="Times New Roman"/>
          <w:i/>
          <w:color w:val="000000" w:themeColor="text1"/>
        </w:rPr>
        <w:t>rihod</w:t>
      </w:r>
      <w:r w:rsidR="00CF42FD" w:rsidRPr="00CB6396">
        <w:rPr>
          <w:rFonts w:ascii="Times New Roman" w:hAnsi="Times New Roman"/>
          <w:i/>
          <w:color w:val="000000" w:themeColor="text1"/>
        </w:rPr>
        <w:t>e</w:t>
      </w:r>
      <w:r w:rsidR="00AB55D8" w:rsidRPr="00CB6396">
        <w:rPr>
          <w:rFonts w:ascii="Times New Roman" w:hAnsi="Times New Roman"/>
          <w:i/>
          <w:color w:val="000000" w:themeColor="text1"/>
        </w:rPr>
        <w:t xml:space="preserve"> iz nadležnog proračuna </w:t>
      </w:r>
      <w:r w:rsidR="0051670A" w:rsidRPr="00CB6396">
        <w:rPr>
          <w:rFonts w:ascii="Times New Roman" w:hAnsi="Times New Roman"/>
          <w:i/>
          <w:color w:val="000000" w:themeColor="text1"/>
        </w:rPr>
        <w:t>za financiranje rashoda poslovanja</w:t>
      </w:r>
      <w:r w:rsidR="0051670A" w:rsidRPr="00CB6396">
        <w:rPr>
          <w:rFonts w:ascii="Times New Roman" w:hAnsi="Times New Roman"/>
          <w:color w:val="000000" w:themeColor="text1"/>
        </w:rPr>
        <w:t xml:space="preserve"> u iznosu od </w:t>
      </w:r>
      <w:r w:rsidR="005C4661" w:rsidRPr="00CB6396">
        <w:rPr>
          <w:rFonts w:ascii="Times New Roman" w:hAnsi="Times New Roman"/>
          <w:color w:val="000000" w:themeColor="text1"/>
        </w:rPr>
        <w:t>4.970.511,84</w:t>
      </w:r>
      <w:r w:rsidR="0051670A" w:rsidRPr="00CB6396">
        <w:rPr>
          <w:rFonts w:ascii="Times New Roman" w:hAnsi="Times New Roman"/>
          <w:color w:val="000000" w:themeColor="text1"/>
        </w:rPr>
        <w:t xml:space="preserve"> EUR te </w:t>
      </w:r>
      <w:r w:rsidR="0051670A" w:rsidRPr="00CB6396">
        <w:rPr>
          <w:rFonts w:ascii="Times New Roman" w:hAnsi="Times New Roman"/>
          <w:i/>
          <w:color w:val="000000" w:themeColor="text1"/>
        </w:rPr>
        <w:t>prihode iz nadležnog proračuna</w:t>
      </w:r>
      <w:r w:rsidR="00A61A53" w:rsidRPr="00CB6396">
        <w:rPr>
          <w:rFonts w:ascii="Times New Roman" w:hAnsi="Times New Roman"/>
          <w:i/>
          <w:color w:val="000000" w:themeColor="text1"/>
        </w:rPr>
        <w:t xml:space="preserve"> za</w:t>
      </w:r>
      <w:r w:rsidR="0051670A" w:rsidRPr="00CB6396">
        <w:rPr>
          <w:rFonts w:ascii="Times New Roman" w:hAnsi="Times New Roman"/>
          <w:i/>
          <w:color w:val="000000" w:themeColor="text1"/>
        </w:rPr>
        <w:t xml:space="preserve"> financiranje rashoda za nabavu nefinancijske imovine</w:t>
      </w:r>
      <w:r w:rsidR="0051670A" w:rsidRPr="00CB6396">
        <w:rPr>
          <w:rFonts w:ascii="Times New Roman" w:hAnsi="Times New Roman"/>
          <w:color w:val="000000" w:themeColor="text1"/>
        </w:rPr>
        <w:t xml:space="preserve"> u iznosu od </w:t>
      </w:r>
      <w:r w:rsidR="005C4661" w:rsidRPr="00CB6396">
        <w:rPr>
          <w:rFonts w:ascii="Times New Roman" w:hAnsi="Times New Roman"/>
          <w:color w:val="000000" w:themeColor="text1"/>
        </w:rPr>
        <w:t>99.616</w:t>
      </w:r>
      <w:r w:rsidR="0051670A" w:rsidRPr="00CB6396">
        <w:rPr>
          <w:rFonts w:ascii="Times New Roman" w:hAnsi="Times New Roman"/>
          <w:color w:val="000000" w:themeColor="text1"/>
        </w:rPr>
        <w:t>,</w:t>
      </w:r>
      <w:r w:rsidR="005C4661" w:rsidRPr="00CB6396">
        <w:rPr>
          <w:rFonts w:ascii="Times New Roman" w:hAnsi="Times New Roman"/>
          <w:color w:val="000000" w:themeColor="text1"/>
        </w:rPr>
        <w:t>59</w:t>
      </w:r>
      <w:r w:rsidR="0051670A" w:rsidRPr="00CB6396">
        <w:rPr>
          <w:rFonts w:ascii="Times New Roman" w:hAnsi="Times New Roman"/>
          <w:color w:val="000000" w:themeColor="text1"/>
        </w:rPr>
        <w:t xml:space="preserve"> EUR.</w:t>
      </w:r>
    </w:p>
    <w:p w14:paraId="1793F3E6" w14:textId="77777777" w:rsidR="0051670A" w:rsidRPr="00CB6396" w:rsidRDefault="0051670A" w:rsidP="0051670A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74820493" w14:textId="64E291BC" w:rsidR="004B3894" w:rsidRPr="00CB6396" w:rsidRDefault="00AB55D8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  <w:t xml:space="preserve">Ukupni </w:t>
      </w:r>
      <w:r w:rsidRPr="00CB6396">
        <w:rPr>
          <w:rFonts w:ascii="Times New Roman" w:hAnsi="Times New Roman"/>
          <w:b/>
          <w:color w:val="000000" w:themeColor="text1"/>
        </w:rPr>
        <w:t>rashodi i izdaci</w:t>
      </w:r>
      <w:r w:rsidR="00446485" w:rsidRPr="00CB6396">
        <w:rPr>
          <w:rFonts w:ascii="Times New Roman" w:hAnsi="Times New Roman"/>
          <w:color w:val="000000" w:themeColor="text1"/>
        </w:rPr>
        <w:t xml:space="preserve"> i</w:t>
      </w:r>
      <w:r w:rsidR="005C4661" w:rsidRPr="00CB6396">
        <w:rPr>
          <w:rFonts w:ascii="Times New Roman" w:hAnsi="Times New Roman"/>
          <w:color w:val="000000" w:themeColor="text1"/>
        </w:rPr>
        <w:t>zvršeni su u iznosu od 5.432.570</w:t>
      </w:r>
      <w:r w:rsidR="00446485" w:rsidRPr="00CB6396">
        <w:rPr>
          <w:rFonts w:ascii="Times New Roman" w:hAnsi="Times New Roman"/>
          <w:color w:val="000000" w:themeColor="text1"/>
        </w:rPr>
        <w:t>,</w:t>
      </w:r>
      <w:r w:rsidR="005C4661" w:rsidRPr="00CB6396">
        <w:rPr>
          <w:rFonts w:ascii="Times New Roman" w:hAnsi="Times New Roman"/>
          <w:color w:val="000000" w:themeColor="text1"/>
        </w:rPr>
        <w:t>91</w:t>
      </w:r>
      <w:r w:rsidR="00446485" w:rsidRPr="00CB6396">
        <w:rPr>
          <w:rFonts w:ascii="Times New Roman" w:hAnsi="Times New Roman"/>
          <w:color w:val="000000" w:themeColor="text1"/>
        </w:rPr>
        <w:t xml:space="preserve"> EUR ili 37,</w:t>
      </w:r>
      <w:r w:rsidR="004745A2" w:rsidRPr="00CB6396">
        <w:rPr>
          <w:rFonts w:ascii="Times New Roman" w:hAnsi="Times New Roman"/>
          <w:color w:val="000000" w:themeColor="text1"/>
        </w:rPr>
        <w:t>68</w:t>
      </w:r>
      <w:r w:rsidR="00446485" w:rsidRPr="00CB6396">
        <w:rPr>
          <w:rFonts w:ascii="Times New Roman" w:hAnsi="Times New Roman"/>
          <w:color w:val="000000" w:themeColor="text1"/>
        </w:rPr>
        <w:t xml:space="preserve"> % u odnosu na tekući pl</w:t>
      </w:r>
      <w:r w:rsidR="005C4661" w:rsidRPr="00CB6396">
        <w:rPr>
          <w:rFonts w:ascii="Times New Roman" w:hAnsi="Times New Roman"/>
          <w:color w:val="000000" w:themeColor="text1"/>
        </w:rPr>
        <w:t xml:space="preserve">an </w:t>
      </w:r>
      <w:r w:rsidR="001A10C8" w:rsidRPr="00CB6396">
        <w:rPr>
          <w:rFonts w:ascii="Times New Roman" w:hAnsi="Times New Roman"/>
          <w:color w:val="000000" w:themeColor="text1"/>
        </w:rPr>
        <w:t xml:space="preserve">za 2023. </w:t>
      </w:r>
      <w:r w:rsidR="00E923BB" w:rsidRPr="00CB6396">
        <w:rPr>
          <w:rFonts w:ascii="Times New Roman" w:hAnsi="Times New Roman"/>
          <w:color w:val="000000" w:themeColor="text1"/>
        </w:rPr>
        <w:t>i veći su za 147.248,82</w:t>
      </w:r>
      <w:r w:rsidR="00446485" w:rsidRPr="00CB6396">
        <w:rPr>
          <w:rFonts w:ascii="Times New Roman" w:hAnsi="Times New Roman"/>
          <w:color w:val="000000" w:themeColor="text1"/>
        </w:rPr>
        <w:t xml:space="preserve"> EUR u odnosu na prethodno izvještajno razdoblje</w:t>
      </w:r>
      <w:r w:rsidR="00BE70F8" w:rsidRPr="00CB6396">
        <w:rPr>
          <w:rFonts w:ascii="Times New Roman" w:hAnsi="Times New Roman"/>
          <w:color w:val="000000" w:themeColor="text1"/>
        </w:rPr>
        <w:t>.</w:t>
      </w:r>
      <w:r w:rsidR="00446485" w:rsidRPr="00CB6396">
        <w:rPr>
          <w:rFonts w:ascii="Times New Roman" w:hAnsi="Times New Roman"/>
          <w:color w:val="000000" w:themeColor="text1"/>
        </w:rPr>
        <w:t xml:space="preserve"> </w:t>
      </w:r>
    </w:p>
    <w:p w14:paraId="0ED93FBE" w14:textId="77777777" w:rsidR="006B76F5" w:rsidRPr="00CB6396" w:rsidRDefault="004B3894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</w:p>
    <w:p w14:paraId="7E62ECE9" w14:textId="7E98CE9B" w:rsidR="004B3894" w:rsidRPr="00CB6396" w:rsidRDefault="006B76F5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  <w:r w:rsidR="00E54BF5" w:rsidRPr="00CB6396">
        <w:rPr>
          <w:rFonts w:ascii="Times New Roman" w:hAnsi="Times New Roman"/>
          <w:color w:val="000000" w:themeColor="text1"/>
        </w:rPr>
        <w:t>Višak sredstava odnosno razlika ukupnih prihoda i primitaka i ukupnih rashoda i izdataka u iznosu od 97.715,80 EUR odnosi se na razliku neutrošenih vlastitih prihoda (</w:t>
      </w:r>
      <w:r w:rsidRPr="00CB6396">
        <w:rPr>
          <w:rFonts w:ascii="Times New Roman" w:hAnsi="Times New Roman"/>
          <w:color w:val="000000" w:themeColor="text1"/>
        </w:rPr>
        <w:t>uplaćena</w:t>
      </w:r>
      <w:r w:rsidR="00E54BF5" w:rsidRPr="00CB6396">
        <w:rPr>
          <w:rFonts w:ascii="Times New Roman" w:hAnsi="Times New Roman"/>
          <w:color w:val="000000" w:themeColor="text1"/>
        </w:rPr>
        <w:t xml:space="preserve"> sredstva) u iznosu od 102.361,10 EUR i utrošenih vlastitih prihoda </w:t>
      </w:r>
      <w:r w:rsidR="00604DE9" w:rsidRPr="00CB6396">
        <w:rPr>
          <w:rFonts w:ascii="Times New Roman" w:hAnsi="Times New Roman"/>
          <w:b/>
          <w:color w:val="000000" w:themeColor="text1"/>
        </w:rPr>
        <w:t xml:space="preserve">(prijenos sredstava iz prethodne </w:t>
      </w:r>
      <w:r w:rsidRPr="00CB6396">
        <w:rPr>
          <w:rFonts w:ascii="Times New Roman" w:hAnsi="Times New Roman"/>
          <w:b/>
          <w:color w:val="000000" w:themeColor="text1"/>
        </w:rPr>
        <w:t>godine</w:t>
      </w:r>
      <w:r w:rsidR="00604DE9" w:rsidRPr="00CB6396">
        <w:rPr>
          <w:rFonts w:ascii="Times New Roman" w:hAnsi="Times New Roman"/>
          <w:b/>
          <w:color w:val="000000" w:themeColor="text1"/>
        </w:rPr>
        <w:t>)</w:t>
      </w:r>
      <w:r w:rsidR="00604DE9" w:rsidRPr="00CB6396">
        <w:rPr>
          <w:rFonts w:ascii="Times New Roman" w:hAnsi="Times New Roman"/>
          <w:color w:val="000000" w:themeColor="text1"/>
        </w:rPr>
        <w:t xml:space="preserve"> </w:t>
      </w:r>
      <w:r w:rsidR="00E54BF5" w:rsidRPr="00CB6396">
        <w:rPr>
          <w:rFonts w:ascii="Times New Roman" w:hAnsi="Times New Roman"/>
          <w:color w:val="000000" w:themeColor="text1"/>
        </w:rPr>
        <w:t xml:space="preserve"> u iznosu od 4.645,30 EUR</w:t>
      </w:r>
    </w:p>
    <w:p w14:paraId="30132E0E" w14:textId="77777777" w:rsidR="006B76F5" w:rsidRPr="00CB6396" w:rsidRDefault="004B3894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</w:p>
    <w:p w14:paraId="4A369F3A" w14:textId="3AC2B2FD" w:rsidR="00AB55D8" w:rsidRPr="00CB6396" w:rsidRDefault="006B76F5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  <w:r w:rsidR="00FB0CE3" w:rsidRPr="00CB6396">
        <w:rPr>
          <w:rFonts w:ascii="Times New Roman" w:hAnsi="Times New Roman"/>
          <w:color w:val="000000" w:themeColor="text1"/>
        </w:rPr>
        <w:t>Ukupno izvršeni</w:t>
      </w:r>
      <w:r w:rsidR="00BE70F8" w:rsidRPr="00CB6396">
        <w:rPr>
          <w:rFonts w:ascii="Times New Roman" w:hAnsi="Times New Roman"/>
          <w:color w:val="000000" w:themeColor="text1"/>
        </w:rPr>
        <w:t xml:space="preserve"> rashodi</w:t>
      </w:r>
      <w:r w:rsidR="00A91183" w:rsidRPr="00CB6396">
        <w:rPr>
          <w:rFonts w:ascii="Times New Roman" w:hAnsi="Times New Roman"/>
          <w:color w:val="000000" w:themeColor="text1"/>
        </w:rPr>
        <w:t xml:space="preserve"> </w:t>
      </w:r>
      <w:r w:rsidR="00BE70F8" w:rsidRPr="00CB6396">
        <w:rPr>
          <w:rFonts w:ascii="Times New Roman" w:hAnsi="Times New Roman"/>
          <w:color w:val="000000" w:themeColor="text1"/>
        </w:rPr>
        <w:t>o</w:t>
      </w:r>
      <w:r w:rsidR="00AB55D8" w:rsidRPr="00CB6396">
        <w:rPr>
          <w:rFonts w:ascii="Times New Roman" w:hAnsi="Times New Roman"/>
          <w:color w:val="000000" w:themeColor="text1"/>
        </w:rPr>
        <w:t xml:space="preserve">dnose se na </w:t>
      </w:r>
      <w:r w:rsidR="00FB0CE3" w:rsidRPr="00CB6396">
        <w:rPr>
          <w:rFonts w:ascii="Times New Roman" w:hAnsi="Times New Roman"/>
          <w:color w:val="000000" w:themeColor="text1"/>
        </w:rPr>
        <w:t>r</w:t>
      </w:r>
      <w:r w:rsidR="00AB55D8" w:rsidRPr="00CB6396">
        <w:rPr>
          <w:rFonts w:ascii="Times New Roman" w:hAnsi="Times New Roman"/>
          <w:color w:val="000000" w:themeColor="text1"/>
        </w:rPr>
        <w:t xml:space="preserve">ashode za zaposlene u iznosu od </w:t>
      </w:r>
      <w:r w:rsidR="0001202A" w:rsidRPr="00CB6396">
        <w:rPr>
          <w:rFonts w:ascii="Times New Roman" w:hAnsi="Times New Roman"/>
          <w:color w:val="000000" w:themeColor="text1"/>
        </w:rPr>
        <w:t>4.143.432,3</w:t>
      </w:r>
      <w:r w:rsidR="00FB0CE3" w:rsidRPr="00CB6396">
        <w:rPr>
          <w:rFonts w:ascii="Times New Roman" w:hAnsi="Times New Roman"/>
          <w:color w:val="000000" w:themeColor="text1"/>
        </w:rPr>
        <w:t>0</w:t>
      </w:r>
      <w:r w:rsidR="00AB55D8" w:rsidRPr="00CB6396">
        <w:rPr>
          <w:rFonts w:ascii="Times New Roman" w:hAnsi="Times New Roman"/>
          <w:color w:val="000000" w:themeColor="text1"/>
        </w:rPr>
        <w:t xml:space="preserve"> EUR, </w:t>
      </w:r>
      <w:r w:rsidR="00FB0CE3" w:rsidRPr="00CB6396">
        <w:rPr>
          <w:rFonts w:ascii="Times New Roman" w:hAnsi="Times New Roman"/>
          <w:color w:val="000000" w:themeColor="text1"/>
        </w:rPr>
        <w:t>m</w:t>
      </w:r>
      <w:r w:rsidR="00AB55D8" w:rsidRPr="00CB6396">
        <w:rPr>
          <w:rFonts w:ascii="Times New Roman" w:hAnsi="Times New Roman"/>
          <w:color w:val="000000" w:themeColor="text1"/>
        </w:rPr>
        <w:t xml:space="preserve">aterijalne rashode u iznosu od </w:t>
      </w:r>
      <w:r w:rsidR="009C1BC6" w:rsidRPr="00CB6396">
        <w:rPr>
          <w:rFonts w:ascii="Times New Roman" w:hAnsi="Times New Roman"/>
          <w:color w:val="000000" w:themeColor="text1"/>
        </w:rPr>
        <w:t>825.821,</w:t>
      </w:r>
      <w:r w:rsidR="0001202A" w:rsidRPr="00CB6396">
        <w:rPr>
          <w:rFonts w:ascii="Times New Roman" w:hAnsi="Times New Roman"/>
          <w:color w:val="000000" w:themeColor="text1"/>
        </w:rPr>
        <w:t>36</w:t>
      </w:r>
      <w:r w:rsidR="00840F18" w:rsidRPr="00CB6396">
        <w:rPr>
          <w:rFonts w:ascii="Times New Roman" w:hAnsi="Times New Roman"/>
          <w:color w:val="000000" w:themeColor="text1"/>
        </w:rPr>
        <w:t xml:space="preserve"> EUR, </w:t>
      </w:r>
      <w:r w:rsidR="009C1BC6" w:rsidRPr="00CB6396">
        <w:rPr>
          <w:rFonts w:ascii="Times New Roman" w:hAnsi="Times New Roman"/>
          <w:color w:val="000000" w:themeColor="text1"/>
        </w:rPr>
        <w:t>f</w:t>
      </w:r>
      <w:r w:rsidR="00AB55D8" w:rsidRPr="00CB6396">
        <w:rPr>
          <w:rFonts w:ascii="Times New Roman" w:hAnsi="Times New Roman"/>
          <w:color w:val="000000" w:themeColor="text1"/>
        </w:rPr>
        <w:t xml:space="preserve">inancijske rashode u iznosu od </w:t>
      </w:r>
      <w:r w:rsidR="009C1BC6" w:rsidRPr="00CB6396">
        <w:rPr>
          <w:rFonts w:ascii="Times New Roman" w:hAnsi="Times New Roman"/>
          <w:color w:val="000000" w:themeColor="text1"/>
        </w:rPr>
        <w:t>5.903</w:t>
      </w:r>
      <w:r w:rsidR="00AB55D8" w:rsidRPr="00CB6396">
        <w:rPr>
          <w:rFonts w:ascii="Times New Roman" w:hAnsi="Times New Roman"/>
          <w:color w:val="000000" w:themeColor="text1"/>
        </w:rPr>
        <w:t>,</w:t>
      </w:r>
      <w:r w:rsidR="0001202A" w:rsidRPr="00CB6396">
        <w:rPr>
          <w:rFonts w:ascii="Times New Roman" w:hAnsi="Times New Roman"/>
          <w:color w:val="000000" w:themeColor="text1"/>
        </w:rPr>
        <w:t>48</w:t>
      </w:r>
      <w:r w:rsidR="00AB55D8" w:rsidRPr="00CB6396">
        <w:rPr>
          <w:rFonts w:ascii="Times New Roman" w:hAnsi="Times New Roman"/>
          <w:color w:val="000000" w:themeColor="text1"/>
        </w:rPr>
        <w:t xml:space="preserve"> EUR</w:t>
      </w:r>
      <w:r w:rsidR="009C1BC6" w:rsidRPr="00CB6396">
        <w:rPr>
          <w:rFonts w:ascii="Times New Roman" w:hAnsi="Times New Roman"/>
          <w:color w:val="000000" w:themeColor="text1"/>
        </w:rPr>
        <w:t>,</w:t>
      </w:r>
      <w:r w:rsidR="00AB55D8" w:rsidRPr="00CB6396">
        <w:rPr>
          <w:rFonts w:ascii="Times New Roman" w:hAnsi="Times New Roman"/>
          <w:color w:val="000000" w:themeColor="text1"/>
        </w:rPr>
        <w:t xml:space="preserve"> </w:t>
      </w:r>
      <w:r w:rsidR="009C1BC6" w:rsidRPr="00CB6396">
        <w:rPr>
          <w:rFonts w:ascii="Times New Roman" w:hAnsi="Times New Roman"/>
          <w:color w:val="000000" w:themeColor="text1"/>
        </w:rPr>
        <w:t>r</w:t>
      </w:r>
      <w:r w:rsidR="00AB55D8" w:rsidRPr="00CB6396">
        <w:rPr>
          <w:rFonts w:ascii="Times New Roman" w:hAnsi="Times New Roman"/>
          <w:color w:val="000000" w:themeColor="text1"/>
        </w:rPr>
        <w:t xml:space="preserve">ashode za nabavu proizvedene dugotrajne imovine u iznosu od </w:t>
      </w:r>
      <w:r w:rsidR="009C1BC6" w:rsidRPr="00CB6396">
        <w:rPr>
          <w:rFonts w:ascii="Times New Roman" w:hAnsi="Times New Roman"/>
          <w:color w:val="000000" w:themeColor="text1"/>
        </w:rPr>
        <w:t>37.48</w:t>
      </w:r>
      <w:r w:rsidR="0001202A" w:rsidRPr="00CB6396">
        <w:rPr>
          <w:rFonts w:ascii="Times New Roman" w:hAnsi="Times New Roman"/>
          <w:color w:val="000000" w:themeColor="text1"/>
        </w:rPr>
        <w:t>6,57</w:t>
      </w:r>
      <w:r w:rsidR="00AB55D8" w:rsidRPr="00CB6396">
        <w:rPr>
          <w:rFonts w:ascii="Times New Roman" w:hAnsi="Times New Roman"/>
          <w:color w:val="000000" w:themeColor="text1"/>
        </w:rPr>
        <w:t xml:space="preserve"> EUR te </w:t>
      </w:r>
      <w:r w:rsidR="009C1BC6" w:rsidRPr="00CB6396">
        <w:rPr>
          <w:rFonts w:ascii="Times New Roman" w:hAnsi="Times New Roman"/>
          <w:color w:val="000000" w:themeColor="text1"/>
        </w:rPr>
        <w:t>r</w:t>
      </w:r>
      <w:r w:rsidR="00AB55D8" w:rsidRPr="00CB6396">
        <w:rPr>
          <w:rFonts w:ascii="Times New Roman" w:hAnsi="Times New Roman"/>
          <w:color w:val="000000" w:themeColor="text1"/>
        </w:rPr>
        <w:t xml:space="preserve">ashode za dodatna ulaganja na nefinancijskoj imovini u iznosu od </w:t>
      </w:r>
      <w:r w:rsidR="009C1BC6" w:rsidRPr="00CB6396">
        <w:rPr>
          <w:rFonts w:ascii="Times New Roman" w:hAnsi="Times New Roman"/>
          <w:color w:val="000000" w:themeColor="text1"/>
        </w:rPr>
        <w:t>419.927</w:t>
      </w:r>
      <w:r w:rsidR="0001202A" w:rsidRPr="00CB6396">
        <w:rPr>
          <w:rFonts w:ascii="Times New Roman" w:hAnsi="Times New Roman"/>
          <w:color w:val="000000" w:themeColor="text1"/>
        </w:rPr>
        <w:t>,20</w:t>
      </w:r>
      <w:r w:rsidR="00AB55D8" w:rsidRPr="00CB6396">
        <w:rPr>
          <w:rFonts w:ascii="Times New Roman" w:hAnsi="Times New Roman"/>
          <w:color w:val="000000" w:themeColor="text1"/>
        </w:rPr>
        <w:t xml:space="preserve"> EUR. </w:t>
      </w:r>
    </w:p>
    <w:p w14:paraId="5D49F99C" w14:textId="10FC3E39" w:rsidR="0002476B" w:rsidRPr="00CB6396" w:rsidRDefault="00AB55D8" w:rsidP="0002476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  <w:t>Vrijedno</w:t>
      </w:r>
      <w:r w:rsidR="00EF6A31" w:rsidRPr="00CB6396">
        <w:rPr>
          <w:rFonts w:ascii="Times New Roman" w:hAnsi="Times New Roman"/>
          <w:color w:val="000000" w:themeColor="text1"/>
        </w:rPr>
        <w:t xml:space="preserve">sno </w:t>
      </w:r>
      <w:r w:rsidR="004051A0" w:rsidRPr="00CB6396">
        <w:rPr>
          <w:rFonts w:ascii="Times New Roman" w:hAnsi="Times New Roman"/>
          <w:color w:val="000000" w:themeColor="text1"/>
        </w:rPr>
        <w:t>značajnije izvršenje rashoda odn</w:t>
      </w:r>
      <w:r w:rsidR="00D96D65" w:rsidRPr="00CB6396">
        <w:rPr>
          <w:rFonts w:ascii="Times New Roman" w:hAnsi="Times New Roman"/>
          <w:color w:val="000000" w:themeColor="text1"/>
        </w:rPr>
        <w:t xml:space="preserve">osi se na rashode za zaposlene </w:t>
      </w:r>
      <w:r w:rsidR="004051A0" w:rsidRPr="00CB6396">
        <w:rPr>
          <w:rFonts w:ascii="Times New Roman" w:hAnsi="Times New Roman"/>
          <w:color w:val="000000" w:themeColor="text1"/>
        </w:rPr>
        <w:t xml:space="preserve">u iznosu od </w:t>
      </w:r>
      <w:r w:rsidR="007E368A" w:rsidRPr="00CB6396">
        <w:rPr>
          <w:rFonts w:ascii="Times New Roman" w:hAnsi="Times New Roman"/>
          <w:color w:val="000000" w:themeColor="text1"/>
        </w:rPr>
        <w:t>4.143.432,30 EUR ili</w:t>
      </w:r>
      <w:r w:rsidR="004051A0" w:rsidRPr="00CB6396">
        <w:rPr>
          <w:rFonts w:ascii="Times New Roman" w:hAnsi="Times New Roman"/>
          <w:color w:val="000000" w:themeColor="text1"/>
        </w:rPr>
        <w:t xml:space="preserve"> 48,6</w:t>
      </w:r>
      <w:r w:rsidR="0008549C" w:rsidRPr="00CB6396">
        <w:rPr>
          <w:rFonts w:ascii="Times New Roman" w:hAnsi="Times New Roman"/>
          <w:color w:val="000000" w:themeColor="text1"/>
        </w:rPr>
        <w:t>4</w:t>
      </w:r>
      <w:r w:rsidR="004051A0" w:rsidRPr="00CB6396">
        <w:rPr>
          <w:rFonts w:ascii="Times New Roman" w:hAnsi="Times New Roman"/>
          <w:color w:val="000000" w:themeColor="text1"/>
        </w:rPr>
        <w:t xml:space="preserve"> % u odnosu na tekući plan za 2023. i veći su za 244.492,9</w:t>
      </w:r>
      <w:r w:rsidR="0008549C" w:rsidRPr="00CB6396">
        <w:rPr>
          <w:rFonts w:ascii="Times New Roman" w:hAnsi="Times New Roman"/>
          <w:color w:val="000000" w:themeColor="text1"/>
        </w:rPr>
        <w:t>8</w:t>
      </w:r>
      <w:r w:rsidR="004051A0" w:rsidRPr="00CB6396">
        <w:rPr>
          <w:rFonts w:ascii="Times New Roman" w:hAnsi="Times New Roman"/>
          <w:color w:val="000000" w:themeColor="text1"/>
        </w:rPr>
        <w:t xml:space="preserve"> EUR u odnosu na prethodno izvještajno razdoblje</w:t>
      </w:r>
      <w:r w:rsidR="008B6652" w:rsidRPr="00CB6396">
        <w:rPr>
          <w:rFonts w:ascii="Times New Roman" w:hAnsi="Times New Roman"/>
          <w:color w:val="000000" w:themeColor="text1"/>
        </w:rPr>
        <w:t xml:space="preserve"> koji su financirani iz prihoda nadležnog proračuna za f</w:t>
      </w:r>
      <w:r w:rsidR="0008549C" w:rsidRPr="00CB6396">
        <w:rPr>
          <w:rFonts w:ascii="Times New Roman" w:hAnsi="Times New Roman"/>
          <w:color w:val="000000" w:themeColor="text1"/>
        </w:rPr>
        <w:t xml:space="preserve">inanciranje rashoda poslovanja. </w:t>
      </w:r>
      <w:r w:rsidR="00E875A2" w:rsidRPr="00CB6396">
        <w:rPr>
          <w:rFonts w:ascii="Times New Roman" w:hAnsi="Times New Roman"/>
          <w:color w:val="000000" w:themeColor="text1"/>
        </w:rPr>
        <w:t xml:space="preserve">Navedeno povećanje odnosi se na </w:t>
      </w:r>
      <w:r w:rsidR="0002476B" w:rsidRPr="00CB6396">
        <w:rPr>
          <w:rFonts w:ascii="Times New Roman" w:hAnsi="Times New Roman"/>
          <w:color w:val="000000" w:themeColor="text1"/>
        </w:rPr>
        <w:t xml:space="preserve">povećanje osnovice plaće za 6,0 % i za 2,0 % prema Dodatku I. Kolektivnom ugovoru za državne službenike i namještenike (Narodne novine 127/22) te zapošljavanje državnih službenika putem premještaja. </w:t>
      </w:r>
    </w:p>
    <w:p w14:paraId="6C374FB8" w14:textId="77777777" w:rsidR="00CB6396" w:rsidRDefault="007E368A" w:rsidP="007D7F5E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 xml:space="preserve"> </w:t>
      </w:r>
      <w:r w:rsidR="00B84646" w:rsidRPr="00CB6396">
        <w:rPr>
          <w:rFonts w:ascii="Times New Roman" w:hAnsi="Times New Roman"/>
          <w:color w:val="000000" w:themeColor="text1"/>
        </w:rPr>
        <w:tab/>
      </w:r>
      <w:r w:rsidR="00EF6A31" w:rsidRPr="00CB6396">
        <w:rPr>
          <w:rFonts w:ascii="Times New Roman" w:hAnsi="Times New Roman"/>
          <w:color w:val="000000" w:themeColor="text1"/>
        </w:rPr>
        <w:t>I</w:t>
      </w:r>
      <w:r w:rsidR="001A10C8" w:rsidRPr="00CB6396">
        <w:rPr>
          <w:rFonts w:ascii="Times New Roman" w:hAnsi="Times New Roman"/>
          <w:color w:val="000000" w:themeColor="text1"/>
        </w:rPr>
        <w:t>zvrš</w:t>
      </w:r>
      <w:r w:rsidR="00644C22" w:rsidRPr="00CB6396">
        <w:rPr>
          <w:rFonts w:ascii="Times New Roman" w:hAnsi="Times New Roman"/>
          <w:color w:val="000000" w:themeColor="text1"/>
        </w:rPr>
        <w:t>enje materijalnih rashoda iznosi</w:t>
      </w:r>
      <w:r w:rsidR="001A10C8" w:rsidRPr="00CB6396">
        <w:rPr>
          <w:rFonts w:ascii="Times New Roman" w:hAnsi="Times New Roman"/>
          <w:color w:val="000000" w:themeColor="text1"/>
        </w:rPr>
        <w:t xml:space="preserve"> 825.821,36 EUR ili 40,</w:t>
      </w:r>
      <w:r w:rsidR="0008549C" w:rsidRPr="00CB6396">
        <w:rPr>
          <w:rFonts w:ascii="Times New Roman" w:hAnsi="Times New Roman"/>
          <w:color w:val="000000" w:themeColor="text1"/>
        </w:rPr>
        <w:t>5</w:t>
      </w:r>
      <w:r w:rsidR="001A10C8" w:rsidRPr="00CB6396">
        <w:rPr>
          <w:rFonts w:ascii="Times New Roman" w:hAnsi="Times New Roman"/>
          <w:color w:val="000000" w:themeColor="text1"/>
        </w:rPr>
        <w:t>6 % u odnosu na tekući pla</w:t>
      </w:r>
      <w:r w:rsidR="0008549C" w:rsidRPr="00CB6396">
        <w:rPr>
          <w:rFonts w:ascii="Times New Roman" w:hAnsi="Times New Roman"/>
          <w:color w:val="000000" w:themeColor="text1"/>
        </w:rPr>
        <w:t xml:space="preserve">n za 2023. i manji su za 220.846,37 </w:t>
      </w:r>
      <w:r w:rsidR="001A10C8" w:rsidRPr="00CB6396">
        <w:rPr>
          <w:rFonts w:ascii="Times New Roman" w:hAnsi="Times New Roman"/>
          <w:color w:val="000000" w:themeColor="text1"/>
        </w:rPr>
        <w:t xml:space="preserve">EUR u odnosu na prethodno izvještajno razdoblje koji su financirani </w:t>
      </w:r>
      <w:r w:rsidR="005F0E84" w:rsidRPr="00CB6396">
        <w:rPr>
          <w:rFonts w:ascii="Times New Roman" w:hAnsi="Times New Roman"/>
          <w:color w:val="000000" w:themeColor="text1"/>
        </w:rPr>
        <w:t>iz</w:t>
      </w:r>
      <w:r w:rsidR="005F0E84" w:rsidRPr="00CB6396">
        <w:rPr>
          <w:rFonts w:ascii="Times New Roman" w:hAnsi="Times New Roman"/>
          <w:i/>
          <w:color w:val="000000" w:themeColor="text1"/>
        </w:rPr>
        <w:t xml:space="preserve"> </w:t>
      </w:r>
      <w:r w:rsidR="005F0E84" w:rsidRPr="00CB6396">
        <w:rPr>
          <w:rFonts w:ascii="Times New Roman" w:hAnsi="Times New Roman"/>
          <w:color w:val="000000" w:themeColor="text1"/>
        </w:rPr>
        <w:t xml:space="preserve">prihoda iz nadležnog proračuna za financiranje rashoda poslovanja u iznosu </w:t>
      </w:r>
      <w:r w:rsidR="00A00C64" w:rsidRPr="00CB6396">
        <w:rPr>
          <w:rFonts w:ascii="Times New Roman" w:hAnsi="Times New Roman"/>
          <w:color w:val="000000" w:themeColor="text1"/>
        </w:rPr>
        <w:t xml:space="preserve">od </w:t>
      </w:r>
      <w:r w:rsidR="005F0E84" w:rsidRPr="00CB6396">
        <w:rPr>
          <w:rFonts w:ascii="Times New Roman" w:hAnsi="Times New Roman"/>
          <w:color w:val="000000" w:themeColor="text1"/>
        </w:rPr>
        <w:t xml:space="preserve">821.176,06 EUR te </w:t>
      </w:r>
      <w:r w:rsidR="001A10C8" w:rsidRPr="00CB6396">
        <w:rPr>
          <w:rFonts w:ascii="Times New Roman" w:hAnsi="Times New Roman"/>
          <w:color w:val="000000" w:themeColor="text1"/>
        </w:rPr>
        <w:t xml:space="preserve">iz </w:t>
      </w:r>
      <w:r w:rsidR="005F0E84" w:rsidRPr="00CB6396">
        <w:rPr>
          <w:rFonts w:ascii="Times New Roman" w:hAnsi="Times New Roman"/>
          <w:color w:val="000000" w:themeColor="text1"/>
        </w:rPr>
        <w:t>donosa iz prethodne godine u iznosu od 4.645,30 EUR</w:t>
      </w:r>
      <w:r w:rsidR="00AE1159" w:rsidRPr="00CB6396">
        <w:rPr>
          <w:rFonts w:ascii="Times New Roman" w:hAnsi="Times New Roman"/>
          <w:color w:val="000000" w:themeColor="text1"/>
        </w:rPr>
        <w:t xml:space="preserve">. </w:t>
      </w:r>
      <w:r w:rsidR="005F0E84" w:rsidRPr="00CB6396">
        <w:rPr>
          <w:rFonts w:ascii="Times New Roman" w:hAnsi="Times New Roman"/>
          <w:color w:val="000000" w:themeColor="text1"/>
        </w:rPr>
        <w:t xml:space="preserve"> </w:t>
      </w:r>
      <w:r w:rsidR="007D7F5E" w:rsidRPr="00CB6396">
        <w:rPr>
          <w:rFonts w:ascii="Times New Roman" w:hAnsi="Times New Roman"/>
          <w:color w:val="000000" w:themeColor="text1"/>
        </w:rPr>
        <w:t xml:space="preserve">Navedeno </w:t>
      </w:r>
      <w:r w:rsidR="001405DC" w:rsidRPr="00CB6396">
        <w:rPr>
          <w:rFonts w:ascii="Times New Roman" w:hAnsi="Times New Roman"/>
          <w:color w:val="000000" w:themeColor="text1"/>
        </w:rPr>
        <w:t>smanjenje u značajnijem dijelu odnosi se na rashode z</w:t>
      </w:r>
      <w:r w:rsidR="007D7F5E" w:rsidRPr="00CB6396">
        <w:rPr>
          <w:rFonts w:ascii="Times New Roman" w:hAnsi="Times New Roman"/>
          <w:color w:val="000000" w:themeColor="text1"/>
        </w:rPr>
        <w:t>a intelektualne i osobne usluge</w:t>
      </w:r>
      <w:r w:rsidR="00D613C1" w:rsidRPr="00CB6396">
        <w:rPr>
          <w:rFonts w:ascii="Times New Roman" w:hAnsi="Times New Roman"/>
          <w:color w:val="000000" w:themeColor="text1"/>
        </w:rPr>
        <w:t xml:space="preserve"> u iznosu od 40</w:t>
      </w:r>
      <w:r w:rsidR="00F86A64" w:rsidRPr="00CB6396">
        <w:rPr>
          <w:rFonts w:ascii="Times New Roman" w:hAnsi="Times New Roman"/>
          <w:color w:val="000000" w:themeColor="text1"/>
        </w:rPr>
        <w:t>4</w:t>
      </w:r>
      <w:r w:rsidR="00D613C1" w:rsidRPr="00CB6396">
        <w:rPr>
          <w:rFonts w:ascii="Times New Roman" w:hAnsi="Times New Roman"/>
          <w:color w:val="000000" w:themeColor="text1"/>
        </w:rPr>
        <w:t>.</w:t>
      </w:r>
      <w:r w:rsidR="00F86A64" w:rsidRPr="00CB6396">
        <w:rPr>
          <w:rFonts w:ascii="Times New Roman" w:hAnsi="Times New Roman"/>
          <w:color w:val="000000" w:themeColor="text1"/>
        </w:rPr>
        <w:t>885</w:t>
      </w:r>
      <w:r w:rsidR="00D613C1" w:rsidRPr="00CB6396">
        <w:rPr>
          <w:rFonts w:ascii="Times New Roman" w:hAnsi="Times New Roman"/>
          <w:color w:val="000000" w:themeColor="text1"/>
        </w:rPr>
        <w:t>,</w:t>
      </w:r>
      <w:r w:rsidR="00F86A64" w:rsidRPr="00CB6396">
        <w:rPr>
          <w:rFonts w:ascii="Times New Roman" w:hAnsi="Times New Roman"/>
          <w:color w:val="000000" w:themeColor="text1"/>
        </w:rPr>
        <w:t>53</w:t>
      </w:r>
      <w:r w:rsidR="00D613C1" w:rsidRPr="00CB6396">
        <w:rPr>
          <w:rFonts w:ascii="Times New Roman" w:hAnsi="Times New Roman"/>
          <w:color w:val="000000" w:themeColor="text1"/>
        </w:rPr>
        <w:t xml:space="preserve"> EUR</w:t>
      </w:r>
      <w:r w:rsidR="007D7F5E" w:rsidRPr="00CB6396">
        <w:rPr>
          <w:rFonts w:ascii="Times New Roman" w:hAnsi="Times New Roman"/>
          <w:color w:val="000000" w:themeColor="text1"/>
        </w:rPr>
        <w:t xml:space="preserve"> </w:t>
      </w:r>
      <w:r w:rsidR="001405DC" w:rsidRPr="00CB6396">
        <w:rPr>
          <w:rFonts w:ascii="Times New Roman" w:hAnsi="Times New Roman"/>
          <w:color w:val="000000" w:themeColor="text1"/>
        </w:rPr>
        <w:t>te</w:t>
      </w:r>
      <w:r w:rsidR="007D7F5E" w:rsidRPr="00CB6396">
        <w:rPr>
          <w:rFonts w:ascii="Times New Roman" w:hAnsi="Times New Roman"/>
          <w:color w:val="000000" w:themeColor="text1"/>
        </w:rPr>
        <w:t xml:space="preserve"> rashode za službena putovanja</w:t>
      </w:r>
      <w:r w:rsidR="00D613C1" w:rsidRPr="00CB6396">
        <w:rPr>
          <w:rFonts w:ascii="Times New Roman" w:hAnsi="Times New Roman"/>
          <w:color w:val="000000" w:themeColor="text1"/>
        </w:rPr>
        <w:t xml:space="preserve"> u iznosu od </w:t>
      </w:r>
      <w:r w:rsidR="00F86A64" w:rsidRPr="00CB6396">
        <w:rPr>
          <w:rFonts w:ascii="Times New Roman" w:hAnsi="Times New Roman"/>
          <w:color w:val="000000" w:themeColor="text1"/>
        </w:rPr>
        <w:t>42.970,01</w:t>
      </w:r>
      <w:r w:rsidR="00D613C1" w:rsidRPr="00CB6396">
        <w:rPr>
          <w:rFonts w:ascii="Times New Roman" w:hAnsi="Times New Roman"/>
          <w:color w:val="000000" w:themeColor="text1"/>
        </w:rPr>
        <w:t xml:space="preserve"> EUR</w:t>
      </w:r>
      <w:r w:rsidR="007D7F5E" w:rsidRPr="00CB6396">
        <w:rPr>
          <w:rFonts w:ascii="Times New Roman" w:hAnsi="Times New Roman"/>
          <w:color w:val="000000" w:themeColor="text1"/>
        </w:rPr>
        <w:t>, a sve zbog završetka provedbe</w:t>
      </w:r>
      <w:r w:rsidR="0059759E" w:rsidRPr="00CB6396">
        <w:rPr>
          <w:rFonts w:ascii="Times New Roman" w:hAnsi="Times New Roman"/>
          <w:color w:val="000000" w:themeColor="text1"/>
        </w:rPr>
        <w:t xml:space="preserve"> Twinning projekta „Unapr</w:t>
      </w:r>
      <w:r w:rsidR="007D7F5E" w:rsidRPr="00CB6396">
        <w:rPr>
          <w:rFonts w:ascii="Times New Roman" w:hAnsi="Times New Roman"/>
          <w:color w:val="000000" w:themeColor="text1"/>
        </w:rPr>
        <w:t>eđenje vanjske revizije i parlamentarnog nadzora</w:t>
      </w:r>
      <w:r w:rsidR="00A00C64" w:rsidRPr="00CB6396">
        <w:rPr>
          <w:rFonts w:ascii="Times New Roman" w:hAnsi="Times New Roman"/>
          <w:color w:val="000000" w:themeColor="text1"/>
        </w:rPr>
        <w:t>”</w:t>
      </w:r>
      <w:r w:rsidR="007D7F5E" w:rsidRPr="00CB6396">
        <w:rPr>
          <w:rFonts w:ascii="Times New Roman" w:hAnsi="Times New Roman"/>
          <w:color w:val="000000" w:themeColor="text1"/>
        </w:rPr>
        <w:t xml:space="preserve"> u Republici Sjevernoj Makedoniji u listopadu 2022.</w:t>
      </w:r>
      <w:r w:rsidR="001405DC" w:rsidRPr="00CB6396">
        <w:rPr>
          <w:rFonts w:ascii="Times New Roman" w:hAnsi="Times New Roman"/>
          <w:color w:val="000000" w:themeColor="text1"/>
        </w:rPr>
        <w:t xml:space="preserve"> Također, u okviru materijalnih rashoda </w:t>
      </w:r>
      <w:r w:rsidR="00644C22" w:rsidRPr="00CB6396">
        <w:rPr>
          <w:rFonts w:ascii="Times New Roman" w:hAnsi="Times New Roman"/>
          <w:color w:val="000000" w:themeColor="text1"/>
        </w:rPr>
        <w:t>došlo je i do povećanja rashoda, a u</w:t>
      </w:r>
      <w:r w:rsidR="001405DC" w:rsidRPr="00CB6396">
        <w:rPr>
          <w:rFonts w:ascii="Times New Roman" w:hAnsi="Times New Roman"/>
          <w:color w:val="000000" w:themeColor="text1"/>
        </w:rPr>
        <w:t xml:space="preserve"> značajnijem dijelu se odnosi na rashode za tekuće i investicijsko održavanje</w:t>
      </w:r>
      <w:r w:rsidR="00F86A64" w:rsidRPr="00CB6396">
        <w:rPr>
          <w:rFonts w:ascii="Times New Roman" w:hAnsi="Times New Roman"/>
          <w:color w:val="000000" w:themeColor="text1"/>
        </w:rPr>
        <w:t xml:space="preserve"> u iznosu od 43.455,68</w:t>
      </w:r>
      <w:r w:rsidR="00D613C1" w:rsidRPr="00CB6396">
        <w:rPr>
          <w:rFonts w:ascii="Times New Roman" w:hAnsi="Times New Roman"/>
          <w:color w:val="000000" w:themeColor="text1"/>
        </w:rPr>
        <w:t xml:space="preserve"> EUR</w:t>
      </w:r>
      <w:r w:rsidR="001405DC" w:rsidRPr="00CB6396">
        <w:rPr>
          <w:rFonts w:ascii="Times New Roman" w:hAnsi="Times New Roman"/>
          <w:color w:val="000000" w:themeColor="text1"/>
        </w:rPr>
        <w:t xml:space="preserve"> zbog obnove poslovnog prostora u PU Karlovac i ugradnje novih prozora u postoje</w:t>
      </w:r>
      <w:r w:rsidR="00A00C64" w:rsidRPr="00CB6396">
        <w:rPr>
          <w:rFonts w:ascii="Times New Roman" w:hAnsi="Times New Roman"/>
          <w:color w:val="000000" w:themeColor="text1"/>
        </w:rPr>
        <w:t>će aluminijske okvire te zamjene</w:t>
      </w:r>
      <w:r w:rsidR="001405DC" w:rsidRPr="00CB6396">
        <w:rPr>
          <w:rFonts w:ascii="Times New Roman" w:hAnsi="Times New Roman"/>
          <w:color w:val="000000" w:themeColor="text1"/>
        </w:rPr>
        <w:t xml:space="preserve"> stakla u privremenom poslovnom prostoru Središnjeg ureda. </w:t>
      </w:r>
    </w:p>
    <w:p w14:paraId="0ED400BE" w14:textId="77777777" w:rsidR="00CB6396" w:rsidRDefault="00CB6396" w:rsidP="007D7F5E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2C4036BF" w14:textId="3C58A4CB" w:rsidR="007D7F5E" w:rsidRPr="00CB6396" w:rsidRDefault="00CB6396" w:rsidP="007D7F5E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1405DC" w:rsidRPr="00CB6396">
        <w:rPr>
          <w:rFonts w:ascii="Times New Roman" w:hAnsi="Times New Roman"/>
          <w:color w:val="000000" w:themeColor="text1"/>
        </w:rPr>
        <w:t>Nadalje, do povećanja je došlo i na rashodima za zakupnine i najamnine</w:t>
      </w:r>
      <w:r w:rsidR="00D613C1" w:rsidRPr="00CB6396">
        <w:rPr>
          <w:rFonts w:ascii="Times New Roman" w:hAnsi="Times New Roman"/>
          <w:color w:val="000000" w:themeColor="text1"/>
        </w:rPr>
        <w:t xml:space="preserve"> u iznosu od 102.057,45 EUR </w:t>
      </w:r>
      <w:r w:rsidR="00C72A4F" w:rsidRPr="00CB6396">
        <w:rPr>
          <w:rFonts w:ascii="Times New Roman" w:hAnsi="Times New Roman"/>
          <w:color w:val="000000" w:themeColor="text1"/>
        </w:rPr>
        <w:t>zbog privremenog zakupa poslovnog prostora za smještaj svih zaposlenika u Središnjem uredu s obzirom na to da je u tijeku obnova zgrada u Zagrebu na lokaciji Tkalčićeva 19 i Bogovićeva 1a. Do povećanja je došlo i na rashodima za računalne usluge</w:t>
      </w:r>
      <w:r w:rsidR="00F86A64" w:rsidRPr="00CB6396">
        <w:rPr>
          <w:rFonts w:ascii="Times New Roman" w:hAnsi="Times New Roman"/>
          <w:color w:val="000000" w:themeColor="text1"/>
        </w:rPr>
        <w:t xml:space="preserve"> u iznosu od 111.405,46 </w:t>
      </w:r>
      <w:r w:rsidR="00D613C1" w:rsidRPr="00CB6396">
        <w:rPr>
          <w:rFonts w:ascii="Times New Roman" w:hAnsi="Times New Roman"/>
          <w:color w:val="000000" w:themeColor="text1"/>
        </w:rPr>
        <w:t>EUR</w:t>
      </w:r>
      <w:r w:rsidR="00C72A4F" w:rsidRPr="00CB6396">
        <w:rPr>
          <w:rFonts w:ascii="Times New Roman" w:hAnsi="Times New Roman"/>
          <w:color w:val="000000" w:themeColor="text1"/>
        </w:rPr>
        <w:t xml:space="preserve"> zbog troškova udomljavanja i održavanja IT resursa te programskih aplikacija na državnoj infrastrukturi </w:t>
      </w:r>
      <w:r w:rsidR="006A4D7D" w:rsidRPr="00CB6396">
        <w:rPr>
          <w:rFonts w:ascii="Times New Roman" w:hAnsi="Times New Roman"/>
          <w:color w:val="000000" w:themeColor="text1"/>
        </w:rPr>
        <w:t xml:space="preserve">u </w:t>
      </w:r>
      <w:r w:rsidR="00C72A4F" w:rsidRPr="00CB6396">
        <w:rPr>
          <w:rFonts w:ascii="Times New Roman" w:hAnsi="Times New Roman"/>
          <w:color w:val="000000" w:themeColor="text1"/>
        </w:rPr>
        <w:t>Financijskoj agenciji.</w:t>
      </w:r>
    </w:p>
    <w:p w14:paraId="4B6A59AC" w14:textId="001072C1" w:rsidR="004051A0" w:rsidRPr="00CB6396" w:rsidRDefault="00D509FD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  <w:r w:rsidR="007E368A" w:rsidRPr="00CB6396">
        <w:rPr>
          <w:rFonts w:ascii="Times New Roman" w:hAnsi="Times New Roman"/>
          <w:color w:val="000000" w:themeColor="text1"/>
        </w:rPr>
        <w:t>Nadalje,</w:t>
      </w:r>
      <w:r w:rsidR="008B6652" w:rsidRPr="00CB6396">
        <w:rPr>
          <w:rFonts w:ascii="Times New Roman" w:hAnsi="Times New Roman"/>
          <w:color w:val="000000" w:themeColor="text1"/>
        </w:rPr>
        <w:t xml:space="preserve"> ukupno</w:t>
      </w:r>
      <w:r w:rsidR="007E368A" w:rsidRPr="00CB6396">
        <w:rPr>
          <w:rFonts w:ascii="Times New Roman" w:hAnsi="Times New Roman"/>
          <w:color w:val="000000" w:themeColor="text1"/>
        </w:rPr>
        <w:t xml:space="preserve"> izvršenje rashoda za dodatna ulaganja </w:t>
      </w:r>
      <w:r w:rsidR="00A00C64" w:rsidRPr="00CB6396">
        <w:rPr>
          <w:rFonts w:ascii="Times New Roman" w:hAnsi="Times New Roman"/>
          <w:color w:val="000000" w:themeColor="text1"/>
        </w:rPr>
        <w:t>na nefinancijskoj imovini iznosi</w:t>
      </w:r>
      <w:r w:rsidR="007E368A" w:rsidRPr="00CB6396">
        <w:rPr>
          <w:rFonts w:ascii="Times New Roman" w:hAnsi="Times New Roman"/>
          <w:color w:val="000000" w:themeColor="text1"/>
        </w:rPr>
        <w:t xml:space="preserve"> 419.927,20 EUR ili 11,5</w:t>
      </w:r>
      <w:r w:rsidR="00F86A64" w:rsidRPr="00CB6396">
        <w:rPr>
          <w:rFonts w:ascii="Times New Roman" w:hAnsi="Times New Roman"/>
          <w:color w:val="000000" w:themeColor="text1"/>
        </w:rPr>
        <w:t>4</w:t>
      </w:r>
      <w:r w:rsidR="007E368A" w:rsidRPr="00CB6396">
        <w:rPr>
          <w:rFonts w:ascii="Times New Roman" w:hAnsi="Times New Roman"/>
          <w:color w:val="000000" w:themeColor="text1"/>
        </w:rPr>
        <w:t xml:space="preserve"> % u odnosu na tekući plan </w:t>
      </w:r>
      <w:r w:rsidR="00267EF9" w:rsidRPr="00CB6396">
        <w:rPr>
          <w:rFonts w:ascii="Times New Roman" w:hAnsi="Times New Roman"/>
          <w:color w:val="000000" w:themeColor="text1"/>
        </w:rPr>
        <w:t xml:space="preserve">za </w:t>
      </w:r>
      <w:r w:rsidR="007E368A" w:rsidRPr="00CB6396">
        <w:rPr>
          <w:rFonts w:ascii="Times New Roman" w:hAnsi="Times New Roman"/>
          <w:color w:val="000000" w:themeColor="text1"/>
        </w:rPr>
        <w:t>2023. i veći su za 113.251,8</w:t>
      </w:r>
      <w:r w:rsidR="00FA71B2" w:rsidRPr="00CB6396">
        <w:rPr>
          <w:rFonts w:ascii="Times New Roman" w:hAnsi="Times New Roman"/>
          <w:color w:val="000000" w:themeColor="text1"/>
        </w:rPr>
        <w:t>7</w:t>
      </w:r>
      <w:r w:rsidR="007E368A" w:rsidRPr="00CB6396">
        <w:rPr>
          <w:rFonts w:ascii="Times New Roman" w:hAnsi="Times New Roman"/>
          <w:color w:val="000000" w:themeColor="text1"/>
        </w:rPr>
        <w:t xml:space="preserve"> EUR u odnosu na </w:t>
      </w:r>
      <w:r w:rsidR="008B6652" w:rsidRPr="00CB6396">
        <w:rPr>
          <w:rFonts w:ascii="Times New Roman" w:hAnsi="Times New Roman"/>
          <w:color w:val="000000" w:themeColor="text1"/>
        </w:rPr>
        <w:t xml:space="preserve">prethodno izvještajno razdoblje. Navedeni rashodi financirani su iz prihoda kapitalne pomoći od institucija i tijela EU u iznosu od 357.797,18 EUR i iz prihoda iz nadležnog proračuna </w:t>
      </w:r>
      <w:r w:rsidR="00A61A53" w:rsidRPr="00CB6396">
        <w:rPr>
          <w:rFonts w:ascii="Times New Roman" w:hAnsi="Times New Roman"/>
          <w:color w:val="000000" w:themeColor="text1"/>
        </w:rPr>
        <w:t xml:space="preserve">za </w:t>
      </w:r>
      <w:r w:rsidR="008B6652" w:rsidRPr="00CB6396">
        <w:rPr>
          <w:rFonts w:ascii="Times New Roman" w:hAnsi="Times New Roman"/>
          <w:color w:val="000000" w:themeColor="text1"/>
        </w:rPr>
        <w:t>financiranje rashoda za nabavu nefinancijske imovine</w:t>
      </w:r>
      <w:r w:rsidR="007E368A" w:rsidRPr="00CB6396">
        <w:rPr>
          <w:rFonts w:ascii="Times New Roman" w:hAnsi="Times New Roman"/>
          <w:color w:val="000000" w:themeColor="text1"/>
        </w:rPr>
        <w:t xml:space="preserve"> </w:t>
      </w:r>
      <w:r w:rsidR="008B6652" w:rsidRPr="00CB6396">
        <w:rPr>
          <w:rFonts w:ascii="Times New Roman" w:hAnsi="Times New Roman"/>
          <w:color w:val="000000" w:themeColor="text1"/>
        </w:rPr>
        <w:t xml:space="preserve">u iznosu od </w:t>
      </w:r>
      <w:r w:rsidR="001A10C8" w:rsidRPr="00CB6396">
        <w:rPr>
          <w:rFonts w:ascii="Times New Roman" w:hAnsi="Times New Roman"/>
          <w:color w:val="000000" w:themeColor="text1"/>
        </w:rPr>
        <w:t xml:space="preserve">62.130,02 EUR, </w:t>
      </w:r>
      <w:r w:rsidR="007E368A" w:rsidRPr="00CB6396">
        <w:rPr>
          <w:rFonts w:ascii="Times New Roman" w:hAnsi="Times New Roman"/>
          <w:color w:val="000000" w:themeColor="text1"/>
        </w:rPr>
        <w:t>a odnos</w:t>
      </w:r>
      <w:r w:rsidR="001A10C8" w:rsidRPr="00CB6396">
        <w:rPr>
          <w:rFonts w:ascii="Times New Roman" w:hAnsi="Times New Roman"/>
          <w:color w:val="000000" w:themeColor="text1"/>
        </w:rPr>
        <w:t>e</w:t>
      </w:r>
      <w:r w:rsidR="00D96D65" w:rsidRPr="00CB6396">
        <w:rPr>
          <w:rFonts w:ascii="Times New Roman" w:hAnsi="Times New Roman"/>
          <w:color w:val="000000" w:themeColor="text1"/>
        </w:rPr>
        <w:t xml:space="preserve"> se na </w:t>
      </w:r>
      <w:r w:rsidR="007E368A" w:rsidRPr="00CB6396">
        <w:rPr>
          <w:rFonts w:ascii="Times New Roman" w:hAnsi="Times New Roman"/>
          <w:color w:val="000000" w:themeColor="text1"/>
        </w:rPr>
        <w:t xml:space="preserve">obnovu zgrada oštećenih potresom u </w:t>
      </w:r>
      <w:r w:rsidR="001A10C8" w:rsidRPr="00CB6396">
        <w:rPr>
          <w:rFonts w:ascii="Times New Roman" w:hAnsi="Times New Roman"/>
          <w:color w:val="000000" w:themeColor="text1"/>
        </w:rPr>
        <w:t>Z</w:t>
      </w:r>
      <w:r w:rsidR="007E368A" w:rsidRPr="00CB6396">
        <w:rPr>
          <w:rFonts w:ascii="Times New Roman" w:hAnsi="Times New Roman"/>
          <w:color w:val="000000" w:themeColor="text1"/>
        </w:rPr>
        <w:t>agrebu na lokacijama Tkalčićeva 19, Bogovićeva 1a i Tkalčićeva 67.</w:t>
      </w:r>
      <w:r w:rsidR="001A10C8" w:rsidRPr="00CB6396">
        <w:rPr>
          <w:rFonts w:ascii="Times New Roman" w:hAnsi="Times New Roman"/>
          <w:color w:val="000000" w:themeColor="text1"/>
        </w:rPr>
        <w:t xml:space="preserve"> </w:t>
      </w:r>
    </w:p>
    <w:p w14:paraId="07054BB9" w14:textId="5A448F19" w:rsidR="00F23877" w:rsidRDefault="00657835" w:rsidP="001D6085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 xml:space="preserve"> </w:t>
      </w:r>
    </w:p>
    <w:p w14:paraId="7F14120C" w14:textId="77777777" w:rsidR="00CB6396" w:rsidRPr="00CB6396" w:rsidRDefault="00CB6396" w:rsidP="001D6085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3941BC66" w14:textId="02191ACD" w:rsidR="00376969" w:rsidRPr="00ED37AA" w:rsidRDefault="00CC373D" w:rsidP="00ED37AA">
      <w:pPr>
        <w:pStyle w:val="Naslov2"/>
        <w:tabs>
          <w:tab w:val="left" w:pos="567"/>
        </w:tabs>
        <w:ind w:left="567" w:hanging="567"/>
        <w:rPr>
          <w:b/>
          <w:color w:val="000000" w:themeColor="text1"/>
        </w:rPr>
      </w:pPr>
      <w:bookmarkStart w:id="8" w:name="_Toc144715232"/>
      <w:r w:rsidRPr="00ED37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2.4</w:t>
      </w:r>
      <w:r w:rsidR="00C813E3" w:rsidRPr="00ED37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813E3" w:rsidRPr="00ED37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76969" w:rsidRPr="00ED37AA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Posebni izvještaj o polugodišnjem izvještaju o izvršenju financi</w:t>
      </w:r>
      <w:r w:rsidR="00661A1B" w:rsidRPr="00ED37AA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j</w:t>
      </w:r>
      <w:r w:rsidR="00376969" w:rsidRPr="00ED37AA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skog plana za 2023.</w:t>
      </w:r>
      <w:bookmarkEnd w:id="8"/>
    </w:p>
    <w:p w14:paraId="2EC19D72" w14:textId="5DBDFC99" w:rsidR="00892697" w:rsidRPr="00CB6396" w:rsidRDefault="00892697" w:rsidP="00892697">
      <w:pPr>
        <w:rPr>
          <w:rFonts w:ascii="Times New Roman" w:hAnsi="Times New Roman"/>
        </w:rPr>
      </w:pPr>
    </w:p>
    <w:p w14:paraId="1E03AA39" w14:textId="10ABB72D" w:rsidR="00B416E9" w:rsidRPr="00CB6396" w:rsidRDefault="00E472BE" w:rsidP="00ED37AA">
      <w:pPr>
        <w:ind w:firstLine="567"/>
        <w:rPr>
          <w:rFonts w:ascii="Times New Roman" w:hAnsi="Times New Roman"/>
        </w:rPr>
      </w:pPr>
      <w:r w:rsidRPr="00CB6396">
        <w:rPr>
          <w:rFonts w:ascii="Times New Roman" w:hAnsi="Times New Roman"/>
        </w:rPr>
        <w:t>Prema članku 85. Zakona o proračunu</w:t>
      </w:r>
      <w:r w:rsidR="00726B93" w:rsidRPr="00CB6396">
        <w:rPr>
          <w:rFonts w:ascii="Times New Roman" w:hAnsi="Times New Roman"/>
        </w:rPr>
        <w:t>,</w:t>
      </w:r>
      <w:r w:rsidRPr="00CB6396">
        <w:rPr>
          <w:rFonts w:ascii="Times New Roman" w:hAnsi="Times New Roman"/>
        </w:rPr>
        <w:t xml:space="preserve"> </w:t>
      </w:r>
      <w:r w:rsidR="00726B93" w:rsidRPr="00CB6396">
        <w:rPr>
          <w:rFonts w:ascii="Times New Roman" w:hAnsi="Times New Roman"/>
        </w:rPr>
        <w:t>P</w:t>
      </w:r>
      <w:r w:rsidR="00376969" w:rsidRPr="00CB6396">
        <w:rPr>
          <w:rFonts w:ascii="Times New Roman" w:hAnsi="Times New Roman"/>
        </w:rPr>
        <w:t>osebni izvještaj o polugodišnjem izvještaju o izvršenju financijskog plana za 2023</w:t>
      </w:r>
      <w:r w:rsidRPr="00CB6396">
        <w:rPr>
          <w:rFonts w:ascii="Times New Roman" w:hAnsi="Times New Roman"/>
        </w:rPr>
        <w:t>.</w:t>
      </w:r>
      <w:r w:rsidR="00892697" w:rsidRPr="00CB6396">
        <w:rPr>
          <w:rFonts w:ascii="Times New Roman" w:hAnsi="Times New Roman"/>
        </w:rPr>
        <w:t xml:space="preserve"> </w:t>
      </w:r>
      <w:r w:rsidRPr="00CB6396">
        <w:rPr>
          <w:rFonts w:ascii="Times New Roman" w:hAnsi="Times New Roman"/>
        </w:rPr>
        <w:t>odnosi se na izvještaj o izvršenju fin</w:t>
      </w:r>
      <w:r w:rsidR="00555449" w:rsidRPr="00CB6396">
        <w:rPr>
          <w:rFonts w:ascii="Times New Roman" w:hAnsi="Times New Roman"/>
        </w:rPr>
        <w:t>ancijskog plana Ureda za 2023. N</w:t>
      </w:r>
      <w:r w:rsidR="00726B93" w:rsidRPr="00CB6396">
        <w:rPr>
          <w:rFonts w:ascii="Times New Roman" w:hAnsi="Times New Roman"/>
        </w:rPr>
        <w:t>avedeni I</w:t>
      </w:r>
      <w:r w:rsidRPr="00CB6396">
        <w:rPr>
          <w:rFonts w:ascii="Times New Roman" w:hAnsi="Times New Roman"/>
        </w:rPr>
        <w:t>zvještaj sadrži podatke koj</w:t>
      </w:r>
      <w:r w:rsidR="00892697" w:rsidRPr="00CB6396">
        <w:rPr>
          <w:rFonts w:ascii="Times New Roman" w:hAnsi="Times New Roman"/>
        </w:rPr>
        <w:t>i</w:t>
      </w:r>
      <w:r w:rsidR="00FD4774" w:rsidRPr="00CB6396">
        <w:rPr>
          <w:rFonts w:ascii="Times New Roman" w:hAnsi="Times New Roman"/>
        </w:rPr>
        <w:t xml:space="preserve"> se odnose na </w:t>
      </w:r>
      <w:r w:rsidRPr="00CB6396">
        <w:rPr>
          <w:rFonts w:ascii="Times New Roman" w:hAnsi="Times New Roman"/>
        </w:rPr>
        <w:t xml:space="preserve">zaduživanje radi nabave vozila na financijski </w:t>
      </w:r>
      <w:r w:rsidR="00AB6101" w:rsidRPr="00CB6396">
        <w:rPr>
          <w:rFonts w:ascii="Times New Roman" w:hAnsi="Times New Roman"/>
          <w:i/>
        </w:rPr>
        <w:t>leasing</w:t>
      </w:r>
      <w:r w:rsidRPr="00CB6396">
        <w:rPr>
          <w:rFonts w:ascii="Times New Roman" w:hAnsi="Times New Roman"/>
        </w:rPr>
        <w:t xml:space="preserve">. </w:t>
      </w:r>
    </w:p>
    <w:p w14:paraId="72233F12" w14:textId="52DE6314" w:rsidR="00E472BE" w:rsidRPr="00CB6396" w:rsidRDefault="00E472BE" w:rsidP="00ED37AA">
      <w:pPr>
        <w:ind w:firstLine="567"/>
        <w:rPr>
          <w:rFonts w:ascii="Times New Roman" w:hAnsi="Times New Roman"/>
        </w:rPr>
      </w:pPr>
      <w:r w:rsidRPr="00CB6396">
        <w:rPr>
          <w:rFonts w:ascii="Times New Roman" w:hAnsi="Times New Roman"/>
        </w:rPr>
        <w:t>Državni ured za reviziju nije se zaduživao tijekom prvog polugodišta 2023., međutim Državni ured za reviziju ima obvezu prema pravnim osobama iz Republike Hrvatske za vozila nabavljena tijekom 202</w:t>
      </w:r>
      <w:r w:rsidR="00555449" w:rsidRPr="00CB6396">
        <w:rPr>
          <w:rFonts w:ascii="Times New Roman" w:hAnsi="Times New Roman"/>
        </w:rPr>
        <w:t>2</w:t>
      </w:r>
      <w:r w:rsidR="001B775E" w:rsidRPr="00CB6396">
        <w:rPr>
          <w:rFonts w:ascii="Times New Roman" w:hAnsi="Times New Roman"/>
        </w:rPr>
        <w:t>. za što su iskazane obveze</w:t>
      </w:r>
      <w:r w:rsidR="008A1367" w:rsidRPr="00CB6396">
        <w:rPr>
          <w:rFonts w:ascii="Times New Roman" w:hAnsi="Times New Roman"/>
        </w:rPr>
        <w:t xml:space="preserve"> na</w:t>
      </w:r>
      <w:r w:rsidR="003C7888" w:rsidRPr="00CB6396">
        <w:rPr>
          <w:rFonts w:ascii="Times New Roman" w:hAnsi="Times New Roman"/>
        </w:rPr>
        <w:t xml:space="preserve"> 30. lipnja 2023.</w:t>
      </w:r>
      <w:r w:rsidR="001B775E" w:rsidRPr="00CB6396">
        <w:rPr>
          <w:rFonts w:ascii="Times New Roman" w:hAnsi="Times New Roman"/>
        </w:rPr>
        <w:t xml:space="preserve"> u</w:t>
      </w:r>
      <w:r w:rsidR="003C7888" w:rsidRPr="00CB6396">
        <w:rPr>
          <w:rFonts w:ascii="Times New Roman" w:hAnsi="Times New Roman"/>
        </w:rPr>
        <w:t xml:space="preserve"> ukupnom</w:t>
      </w:r>
      <w:r w:rsidR="001B775E" w:rsidRPr="00CB6396">
        <w:rPr>
          <w:rFonts w:ascii="Times New Roman" w:hAnsi="Times New Roman"/>
        </w:rPr>
        <w:t xml:space="preserve"> iznosu od </w:t>
      </w:r>
      <w:r w:rsidR="003C7888" w:rsidRPr="00CB6396">
        <w:rPr>
          <w:rFonts w:ascii="Times New Roman" w:hAnsi="Times New Roman"/>
        </w:rPr>
        <w:t>186.876,76</w:t>
      </w:r>
      <w:r w:rsidR="001B775E" w:rsidRPr="00CB6396">
        <w:rPr>
          <w:rFonts w:ascii="Times New Roman" w:hAnsi="Times New Roman"/>
        </w:rPr>
        <w:t xml:space="preserve"> EUR.</w:t>
      </w:r>
    </w:p>
    <w:p w14:paraId="342EE21C" w14:textId="7A9416BD" w:rsidR="004475E8" w:rsidRPr="00CB6396" w:rsidRDefault="00E472BE" w:rsidP="00E472BE">
      <w:pPr>
        <w:ind w:firstLine="567"/>
        <w:rPr>
          <w:rFonts w:ascii="Times New Roman" w:hAnsi="Times New Roman"/>
          <w:bCs/>
        </w:rPr>
      </w:pPr>
      <w:r w:rsidRPr="00CB6396">
        <w:rPr>
          <w:rFonts w:ascii="Times New Roman" w:hAnsi="Times New Roman"/>
        </w:rPr>
        <w:t>Nadalje,</w:t>
      </w:r>
      <w:r w:rsidR="00892697" w:rsidRPr="00CB6396">
        <w:rPr>
          <w:rFonts w:ascii="Times New Roman" w:hAnsi="Times New Roman"/>
        </w:rPr>
        <w:t xml:space="preserve"> </w:t>
      </w:r>
      <w:r w:rsidR="00D14351" w:rsidRPr="00CB6396">
        <w:rPr>
          <w:rFonts w:ascii="Times New Roman" w:hAnsi="Times New Roman"/>
          <w:bCs/>
        </w:rPr>
        <w:t xml:space="preserve">Državni ured za reviziju sklopio je 25. studenoga 2022. s OTP Leasing d.d. Ugovor za nabavu službenog motornog vozila putem financijskog </w:t>
      </w:r>
      <w:r w:rsidR="00D14351" w:rsidRPr="00CB6396">
        <w:rPr>
          <w:rFonts w:ascii="Times New Roman" w:hAnsi="Times New Roman"/>
          <w:bCs/>
          <w:i/>
        </w:rPr>
        <w:t xml:space="preserve">leasinga </w:t>
      </w:r>
      <w:r w:rsidR="00D14351" w:rsidRPr="00CB6396">
        <w:rPr>
          <w:rFonts w:ascii="Times New Roman" w:hAnsi="Times New Roman"/>
          <w:bCs/>
        </w:rPr>
        <w:t>(kombi vozilo) čija vrijednost nabave iznosi 461.193,84 kn* / 61.210,94 EUR s uračunatim PPMV</w:t>
      </w:r>
      <w:r w:rsidR="00726B93" w:rsidRPr="00CB6396">
        <w:rPr>
          <w:rFonts w:ascii="Times New Roman" w:hAnsi="Times New Roman"/>
          <w:bCs/>
        </w:rPr>
        <w:t>-om</w:t>
      </w:r>
      <w:r w:rsidR="000A16A1">
        <w:rPr>
          <w:rFonts w:ascii="Times New Roman" w:hAnsi="Times New Roman"/>
          <w:bCs/>
        </w:rPr>
        <w:t xml:space="preserve"> i </w:t>
      </w:r>
      <w:r w:rsidR="00D14351" w:rsidRPr="00CB6396">
        <w:rPr>
          <w:rFonts w:ascii="Times New Roman" w:hAnsi="Times New Roman"/>
          <w:bCs/>
        </w:rPr>
        <w:t xml:space="preserve">PDV-om, a visina mjesečnog </w:t>
      </w:r>
      <w:r w:rsidR="00D14351" w:rsidRPr="00CB6396">
        <w:rPr>
          <w:rFonts w:ascii="Times New Roman" w:hAnsi="Times New Roman"/>
          <w:bCs/>
          <w:i/>
        </w:rPr>
        <w:t xml:space="preserve">leasing </w:t>
      </w:r>
      <w:r w:rsidR="00D14351" w:rsidRPr="00CB6396">
        <w:rPr>
          <w:rFonts w:ascii="Times New Roman" w:hAnsi="Times New Roman"/>
          <w:bCs/>
        </w:rPr>
        <w:t>obroka s uračunatim kamatama izno</w:t>
      </w:r>
      <w:r w:rsidR="00EB0822" w:rsidRPr="00CB6396">
        <w:rPr>
          <w:rFonts w:ascii="Times New Roman" w:hAnsi="Times New Roman"/>
          <w:bCs/>
        </w:rPr>
        <w:t>si 12.810,94 kn</w:t>
      </w:r>
      <w:r w:rsidR="00B416E9" w:rsidRPr="00CB6396">
        <w:rPr>
          <w:rStyle w:val="Referencafusnote"/>
          <w:rFonts w:ascii="Times New Roman" w:hAnsi="Times New Roman"/>
          <w:bCs/>
        </w:rPr>
        <w:footnoteReference w:customMarkFollows="1" w:id="1"/>
        <w:t>*</w:t>
      </w:r>
      <w:r w:rsidR="00EB0822" w:rsidRPr="00CB6396">
        <w:rPr>
          <w:rFonts w:ascii="Times New Roman" w:hAnsi="Times New Roman"/>
          <w:bCs/>
        </w:rPr>
        <w:t xml:space="preserve"> / 1.700,30 EUR, dok nominalna kamatna stopa iznosi 5,95 %.</w:t>
      </w:r>
      <w:r w:rsidR="00D14351" w:rsidRPr="00CB6396">
        <w:rPr>
          <w:rFonts w:ascii="Times New Roman" w:hAnsi="Times New Roman"/>
          <w:bCs/>
        </w:rPr>
        <w:t xml:space="preserve"> </w:t>
      </w:r>
    </w:p>
    <w:p w14:paraId="59EA9E6A" w14:textId="77777777" w:rsidR="004475E8" w:rsidRPr="00CB6396" w:rsidRDefault="004475E8" w:rsidP="00E472BE">
      <w:pPr>
        <w:ind w:firstLine="567"/>
        <w:rPr>
          <w:rFonts w:ascii="Times New Roman" w:hAnsi="Times New Roman"/>
          <w:bCs/>
        </w:rPr>
      </w:pPr>
    </w:p>
    <w:p w14:paraId="539BD859" w14:textId="3372E5E7" w:rsidR="00D14351" w:rsidRPr="00CB6396" w:rsidRDefault="006375A3" w:rsidP="00E472BE">
      <w:pPr>
        <w:ind w:firstLine="567"/>
        <w:rPr>
          <w:rFonts w:ascii="Times New Roman" w:hAnsi="Times New Roman"/>
        </w:rPr>
      </w:pPr>
      <w:r w:rsidRPr="00CB6396">
        <w:rPr>
          <w:rFonts w:ascii="Times New Roman" w:hAnsi="Times New Roman"/>
          <w:bCs/>
        </w:rPr>
        <w:t xml:space="preserve">Preostale obveze do kraja 2023. iznose 8.501,52 EUR, obveze za 2024. iznose 20.403,65 EUR, dok obveze za 2025. iznose 20.403,65 EUR. </w:t>
      </w:r>
      <w:r w:rsidR="00D14351" w:rsidRPr="00CB6396">
        <w:rPr>
          <w:rFonts w:ascii="Times New Roman" w:hAnsi="Times New Roman"/>
          <w:bCs/>
        </w:rPr>
        <w:t>Datum posljednje otplate je 1. studenoga 2025.</w:t>
      </w:r>
    </w:p>
    <w:p w14:paraId="655ECCE1" w14:textId="79425B3B" w:rsidR="00225F69" w:rsidRPr="00CB6396" w:rsidRDefault="00CA357C" w:rsidP="00B416E9">
      <w:pPr>
        <w:ind w:firstLine="567"/>
        <w:rPr>
          <w:rFonts w:ascii="Times New Roman" w:hAnsi="Times New Roman"/>
          <w:bCs/>
        </w:rPr>
      </w:pPr>
      <w:r w:rsidRPr="00CB6396">
        <w:rPr>
          <w:rFonts w:ascii="Times New Roman" w:hAnsi="Times New Roman"/>
          <w:bCs/>
        </w:rPr>
        <w:t>Također</w:t>
      </w:r>
      <w:r w:rsidR="00D14351" w:rsidRPr="00CB6396">
        <w:rPr>
          <w:rFonts w:ascii="Times New Roman" w:hAnsi="Times New Roman"/>
          <w:bCs/>
        </w:rPr>
        <w:t xml:space="preserve">, Državni ured za reviziju sklopio je 25. studenoga 2022. s OTP Leasing d.d. i Ugovor za nabavu službenih motornih vozila putem financijskog </w:t>
      </w:r>
      <w:r w:rsidR="00D14351" w:rsidRPr="00CB6396">
        <w:rPr>
          <w:rFonts w:ascii="Times New Roman" w:hAnsi="Times New Roman"/>
          <w:bCs/>
          <w:i/>
        </w:rPr>
        <w:t xml:space="preserve">leasinga </w:t>
      </w:r>
      <w:r w:rsidR="00D14351" w:rsidRPr="00CB6396">
        <w:rPr>
          <w:rFonts w:ascii="Times New Roman" w:hAnsi="Times New Roman"/>
          <w:bCs/>
        </w:rPr>
        <w:t>(šest automobila) čija vrijednost nabave iznosi 1.286.698,68 kn* / 170.774,26 EUR s uračunatim PPMV</w:t>
      </w:r>
      <w:r w:rsidR="00726B93" w:rsidRPr="00CB6396">
        <w:rPr>
          <w:rFonts w:ascii="Times New Roman" w:hAnsi="Times New Roman"/>
          <w:bCs/>
        </w:rPr>
        <w:t>-om</w:t>
      </w:r>
      <w:r w:rsidR="00D14351" w:rsidRPr="00CB6396">
        <w:rPr>
          <w:rFonts w:ascii="Times New Roman" w:hAnsi="Times New Roman"/>
          <w:bCs/>
        </w:rPr>
        <w:t xml:space="preserve"> i PDV-om, a visina mjesečnog </w:t>
      </w:r>
      <w:r w:rsidR="00D14351" w:rsidRPr="00CB6396">
        <w:rPr>
          <w:rFonts w:ascii="Times New Roman" w:hAnsi="Times New Roman"/>
          <w:bCs/>
          <w:i/>
        </w:rPr>
        <w:t>leasing</w:t>
      </w:r>
      <w:r w:rsidR="00D14351" w:rsidRPr="00CB6396">
        <w:rPr>
          <w:rFonts w:ascii="Times New Roman" w:hAnsi="Times New Roman"/>
          <w:bCs/>
        </w:rPr>
        <w:t xml:space="preserve"> obroka s uračunatim kamatama iznosi 35.741,63 kn* / </w:t>
      </w:r>
      <w:r w:rsidR="007A1870" w:rsidRPr="00CB6396">
        <w:rPr>
          <w:rFonts w:ascii="Times New Roman" w:hAnsi="Times New Roman"/>
          <w:bCs/>
        </w:rPr>
        <w:t>4.743,73 EUR za šest automobila, dok nominalna kamatna stopa iznosi 5,95 %.</w:t>
      </w:r>
    </w:p>
    <w:p w14:paraId="2734D20B" w14:textId="20E3FC9D" w:rsidR="00B416E9" w:rsidRDefault="006375A3" w:rsidP="00B416E9">
      <w:pPr>
        <w:ind w:firstLine="567"/>
        <w:rPr>
          <w:rFonts w:cs="Arial"/>
        </w:rPr>
      </w:pPr>
      <w:r w:rsidRPr="00CB6396">
        <w:rPr>
          <w:rFonts w:ascii="Times New Roman" w:hAnsi="Times New Roman"/>
          <w:bCs/>
        </w:rPr>
        <w:t xml:space="preserve">Preostale obveze do kraja 2023. iznose 23.718,65 EUR, obveze za 2024. iznose 56.924,74 EUR, dok obveze za 2025. iznose 56.924,74 EUR. </w:t>
      </w:r>
      <w:r w:rsidR="00D14351" w:rsidRPr="00CB6396">
        <w:rPr>
          <w:rFonts w:ascii="Times New Roman" w:hAnsi="Times New Roman"/>
          <w:bCs/>
        </w:rPr>
        <w:t>Datum posljednje otplate je 1. studenoga 2025.</w:t>
      </w:r>
      <w:r w:rsidR="001A2AEF" w:rsidRPr="00CB6396">
        <w:rPr>
          <w:rFonts w:ascii="Times New Roman" w:hAnsi="Times New Roman"/>
        </w:rPr>
        <w:tab/>
      </w:r>
      <w:r w:rsidR="001A2AEF" w:rsidRPr="00CA357C">
        <w:rPr>
          <w:rFonts w:cs="Arial"/>
        </w:rPr>
        <w:tab/>
      </w:r>
      <w:r w:rsidR="001A2AEF" w:rsidRPr="00CA357C">
        <w:rPr>
          <w:rFonts w:cs="Arial"/>
        </w:rPr>
        <w:tab/>
      </w:r>
      <w:r w:rsidR="001A2AEF" w:rsidRPr="00CA357C">
        <w:rPr>
          <w:rFonts w:cs="Arial"/>
        </w:rPr>
        <w:tab/>
      </w:r>
    </w:p>
    <w:p w14:paraId="1C22D266" w14:textId="65E1C1E3" w:rsidR="00042FBA" w:rsidRDefault="00042FBA" w:rsidP="00B416E9">
      <w:pPr>
        <w:ind w:firstLine="567"/>
        <w:rPr>
          <w:rFonts w:cs="Arial"/>
        </w:rPr>
      </w:pPr>
    </w:p>
    <w:p w14:paraId="20D80C77" w14:textId="66DB506D" w:rsidR="00042FBA" w:rsidRDefault="00042FBA" w:rsidP="00B416E9">
      <w:pPr>
        <w:ind w:firstLine="567"/>
        <w:rPr>
          <w:rFonts w:cs="Arial"/>
        </w:rPr>
      </w:pPr>
    </w:p>
    <w:p w14:paraId="06A944D6" w14:textId="67D5093A" w:rsidR="00ED5469" w:rsidRDefault="00ED5469" w:rsidP="00B416E9">
      <w:pPr>
        <w:ind w:firstLine="567"/>
        <w:rPr>
          <w:rFonts w:cs="Arial"/>
        </w:rPr>
      </w:pPr>
    </w:p>
    <w:p w14:paraId="72CFE124" w14:textId="77777777" w:rsidR="00ED5469" w:rsidRPr="00CA357C" w:rsidRDefault="00ED5469" w:rsidP="00B416E9">
      <w:pPr>
        <w:ind w:firstLine="567"/>
        <w:rPr>
          <w:rFonts w:cs="Arial"/>
        </w:rPr>
      </w:pPr>
    </w:p>
    <w:p w14:paraId="456A09DB" w14:textId="77777777" w:rsidR="001A2AEF" w:rsidRPr="00CA357C" w:rsidRDefault="001A2AEF" w:rsidP="00A01E9E">
      <w:pPr>
        <w:widowControl/>
        <w:ind w:left="4963" w:firstLine="709"/>
        <w:rPr>
          <w:rFonts w:cs="Arial"/>
        </w:rPr>
      </w:pPr>
      <w:r w:rsidRPr="00CA357C">
        <w:rPr>
          <w:rFonts w:cs="Arial"/>
        </w:rPr>
        <w:t>GLAVNI DRŽAVNI REVIZOR</w:t>
      </w:r>
    </w:p>
    <w:p w14:paraId="1008E337" w14:textId="77777777" w:rsidR="001A2AEF" w:rsidRPr="00CA357C" w:rsidRDefault="001A2AEF" w:rsidP="001A2AEF">
      <w:pPr>
        <w:widowControl/>
        <w:rPr>
          <w:rFonts w:cs="Arial"/>
        </w:rPr>
      </w:pPr>
    </w:p>
    <w:p w14:paraId="71BFC4A9" w14:textId="17A29B14" w:rsidR="00692BAC" w:rsidRDefault="001A2AEF" w:rsidP="001A2AEF">
      <w:pPr>
        <w:widowControl/>
        <w:rPr>
          <w:rFonts w:cs="Arial"/>
        </w:rPr>
      </w:pPr>
      <w:r w:rsidRPr="00CA357C">
        <w:rPr>
          <w:rFonts w:cs="Arial"/>
        </w:rPr>
        <w:tab/>
      </w:r>
      <w:r w:rsidRPr="00CA357C">
        <w:rPr>
          <w:rFonts w:cs="Arial"/>
        </w:rPr>
        <w:tab/>
      </w:r>
      <w:r w:rsidRPr="00CA357C">
        <w:rPr>
          <w:rFonts w:cs="Arial"/>
        </w:rPr>
        <w:tab/>
      </w:r>
      <w:r w:rsidRPr="00CA357C">
        <w:rPr>
          <w:rFonts w:cs="Arial"/>
        </w:rPr>
        <w:tab/>
      </w:r>
      <w:r w:rsidRPr="00CA357C">
        <w:rPr>
          <w:rFonts w:cs="Arial"/>
        </w:rPr>
        <w:tab/>
      </w:r>
      <w:r w:rsidRPr="00CA357C">
        <w:rPr>
          <w:rFonts w:cs="Arial"/>
        </w:rPr>
        <w:tab/>
      </w:r>
      <w:r w:rsidRPr="00CA357C">
        <w:rPr>
          <w:rFonts w:cs="Arial"/>
        </w:rPr>
        <w:tab/>
      </w:r>
      <w:r w:rsidRPr="00CA357C">
        <w:rPr>
          <w:rFonts w:cs="Arial"/>
        </w:rPr>
        <w:tab/>
      </w:r>
      <w:r w:rsidRPr="00CA357C">
        <w:rPr>
          <w:rFonts w:cs="Arial"/>
        </w:rPr>
        <w:tab/>
        <w:t xml:space="preserve">    </w:t>
      </w:r>
      <w:r w:rsidRPr="00CA357C">
        <w:rPr>
          <w:rFonts w:cs="Arial"/>
        </w:rPr>
        <w:tab/>
      </w:r>
      <w:r w:rsidRPr="00CA357C">
        <w:rPr>
          <w:rFonts w:cs="Arial"/>
        </w:rPr>
        <w:tab/>
      </w:r>
      <w:r w:rsidRPr="00CA357C">
        <w:rPr>
          <w:rFonts w:cs="Arial"/>
        </w:rPr>
        <w:tab/>
      </w:r>
      <w:r w:rsidRPr="00CA357C">
        <w:rPr>
          <w:rFonts w:cs="Arial"/>
        </w:rPr>
        <w:tab/>
      </w:r>
      <w:r w:rsidRPr="00CA357C">
        <w:rPr>
          <w:rFonts w:cs="Arial"/>
        </w:rPr>
        <w:tab/>
      </w:r>
      <w:r w:rsidRPr="00CA357C">
        <w:rPr>
          <w:rFonts w:cs="Arial"/>
        </w:rPr>
        <w:tab/>
      </w:r>
      <w:r w:rsidRPr="00CA357C">
        <w:rPr>
          <w:rFonts w:cs="Arial"/>
        </w:rPr>
        <w:tab/>
      </w:r>
      <w:r w:rsidRPr="00CA357C">
        <w:rPr>
          <w:rFonts w:cs="Arial"/>
        </w:rPr>
        <w:tab/>
      </w:r>
      <w:r w:rsidRPr="00CA357C">
        <w:rPr>
          <w:rFonts w:cs="Arial"/>
        </w:rPr>
        <w:tab/>
      </w:r>
      <w:r w:rsidRPr="00CA357C">
        <w:rPr>
          <w:rFonts w:cs="Arial"/>
        </w:rPr>
        <w:tab/>
      </w:r>
      <w:r w:rsidRPr="00CA357C">
        <w:rPr>
          <w:rFonts w:cs="Arial"/>
        </w:rPr>
        <w:tab/>
      </w:r>
      <w:r w:rsidR="0032486E" w:rsidRPr="00CA357C">
        <w:rPr>
          <w:rFonts w:cs="Arial"/>
        </w:rPr>
        <w:tab/>
      </w:r>
      <w:bookmarkStart w:id="9" w:name="_GoBack"/>
      <w:bookmarkEnd w:id="9"/>
      <w:r w:rsidRPr="00CA357C">
        <w:rPr>
          <w:rFonts w:cs="Arial"/>
        </w:rPr>
        <w:t>mr. Ivan Klešić, dipl. oec.</w:t>
      </w:r>
      <w:r w:rsidR="00836C02">
        <w:rPr>
          <w:rFonts w:cs="Arial"/>
        </w:rPr>
        <w:t>, v. r.</w:t>
      </w:r>
    </w:p>
    <w:p w14:paraId="4FFCB44F" w14:textId="48D359B5" w:rsidR="004475E8" w:rsidRDefault="004475E8" w:rsidP="001A2AEF">
      <w:pPr>
        <w:widowControl/>
        <w:rPr>
          <w:rFonts w:cs="Arial"/>
        </w:rPr>
      </w:pPr>
    </w:p>
    <w:p w14:paraId="6F254EBD" w14:textId="0F98519B" w:rsidR="004475E8" w:rsidRDefault="004475E8" w:rsidP="001A2AEF">
      <w:pPr>
        <w:widowControl/>
        <w:rPr>
          <w:rFonts w:cs="Arial"/>
        </w:rPr>
      </w:pPr>
    </w:p>
    <w:p w14:paraId="617F68A5" w14:textId="75447EC1" w:rsidR="004475E8" w:rsidRDefault="004475E8" w:rsidP="001A2AEF">
      <w:pPr>
        <w:widowControl/>
        <w:rPr>
          <w:rFonts w:cs="Arial"/>
        </w:rPr>
      </w:pPr>
    </w:p>
    <w:p w14:paraId="01336DF2" w14:textId="3F2CA352" w:rsidR="00225F69" w:rsidRDefault="00225F69" w:rsidP="001A2AEF">
      <w:pPr>
        <w:widowControl/>
        <w:rPr>
          <w:rFonts w:cs="Arial"/>
        </w:rPr>
      </w:pPr>
    </w:p>
    <w:p w14:paraId="1139065D" w14:textId="5D132AB1" w:rsidR="006542E2" w:rsidRPr="001A3492" w:rsidRDefault="00394E24" w:rsidP="00082DA5">
      <w:pPr>
        <w:pStyle w:val="Naslov1"/>
        <w:ind w:left="709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_Toc144715233"/>
      <w:r w:rsidRPr="001A3492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>
        <w:rPr>
          <w:rFonts w:ascii="Arial" w:hAnsi="Arial" w:cs="Arial"/>
          <w:b/>
          <w:bCs/>
          <w:color w:val="auto"/>
          <w:sz w:val="28"/>
          <w:szCs w:val="28"/>
        </w:rPr>
        <w:t>.</w:t>
      </w:r>
      <w:r w:rsidR="006542E2" w:rsidRPr="00B34CC5">
        <w:rPr>
          <w:rFonts w:ascii="Arial" w:hAnsi="Arial" w:cs="Arial"/>
          <w:b/>
          <w:bCs/>
          <w:color w:val="auto"/>
          <w:sz w:val="28"/>
          <w:szCs w:val="28"/>
        </w:rPr>
        <w:t xml:space="preserve">  </w:t>
      </w:r>
      <w:bookmarkStart w:id="11" w:name="_Toc116889220"/>
      <w:r w:rsidR="006542E2" w:rsidRPr="001A3492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bookmarkEnd w:id="11"/>
      <w:r w:rsidR="00B34CC5" w:rsidRPr="001A3492">
        <w:rPr>
          <w:rFonts w:ascii="Times New Roman" w:hAnsi="Times New Roman" w:cs="Times New Roman"/>
          <w:b/>
          <w:bCs/>
          <w:color w:val="auto"/>
          <w:sz w:val="24"/>
          <w:szCs w:val="24"/>
        </w:rPr>
        <w:t>opis tablica</w:t>
      </w:r>
      <w:bookmarkEnd w:id="10"/>
    </w:p>
    <w:p w14:paraId="4359BCF7" w14:textId="77777777" w:rsidR="004475E8" w:rsidRPr="001A3492" w:rsidRDefault="004475E8" w:rsidP="004475E8">
      <w:pPr>
        <w:rPr>
          <w:rFonts w:ascii="Times New Roman" w:hAnsi="Times New Roman"/>
        </w:rPr>
      </w:pPr>
    </w:p>
    <w:p w14:paraId="53B5E617" w14:textId="77777777" w:rsidR="006542E2" w:rsidRPr="001A3492" w:rsidRDefault="006542E2" w:rsidP="006542E2">
      <w:pPr>
        <w:rPr>
          <w:rFonts w:ascii="Times New Roman" w:hAnsi="Times New Roman"/>
        </w:rPr>
      </w:pPr>
    </w:p>
    <w:p w14:paraId="0448E510" w14:textId="58B2FFD7" w:rsidR="006542E2" w:rsidRPr="001A3492" w:rsidRDefault="006542E2" w:rsidP="006542E2">
      <w:pPr>
        <w:pStyle w:val="Odlomakpopisa"/>
        <w:numPr>
          <w:ilvl w:val="0"/>
          <w:numId w:val="18"/>
        </w:numPr>
        <w:spacing w:line="276" w:lineRule="auto"/>
        <w:rPr>
          <w:rFonts w:ascii="Times New Roman" w:hAnsi="Times New Roman"/>
        </w:rPr>
      </w:pPr>
      <w:r w:rsidRPr="001A3492">
        <w:rPr>
          <w:rFonts w:ascii="Times New Roman" w:hAnsi="Times New Roman"/>
          <w:color w:val="000000" w:themeColor="text1"/>
        </w:rPr>
        <w:t xml:space="preserve">Tablica 1 Sažetak </w:t>
      </w:r>
      <w:r w:rsidR="00CB5C25" w:rsidRPr="001A3492">
        <w:rPr>
          <w:rFonts w:ascii="Times New Roman" w:hAnsi="Times New Roman"/>
          <w:color w:val="000000" w:themeColor="text1"/>
        </w:rPr>
        <w:t>r</w:t>
      </w:r>
      <w:r w:rsidRPr="001A3492">
        <w:rPr>
          <w:rFonts w:ascii="Times New Roman" w:hAnsi="Times New Roman"/>
          <w:color w:val="000000" w:themeColor="text1"/>
        </w:rPr>
        <w:t>ačuna prihoda i rashoda i Sažetak računa financiranja</w:t>
      </w:r>
    </w:p>
    <w:p w14:paraId="7B884F15" w14:textId="4A8A652B" w:rsidR="006542E2" w:rsidRPr="001A3492" w:rsidRDefault="006542E2" w:rsidP="006542E2">
      <w:pPr>
        <w:pStyle w:val="Odlomakpopisa"/>
        <w:numPr>
          <w:ilvl w:val="0"/>
          <w:numId w:val="18"/>
        </w:numPr>
        <w:spacing w:line="276" w:lineRule="auto"/>
        <w:rPr>
          <w:rFonts w:ascii="Times New Roman" w:hAnsi="Times New Roman"/>
        </w:rPr>
      </w:pPr>
      <w:r w:rsidRPr="001A3492">
        <w:rPr>
          <w:rFonts w:ascii="Times New Roman" w:hAnsi="Times New Roman"/>
          <w:color w:val="000000" w:themeColor="text1"/>
        </w:rPr>
        <w:t xml:space="preserve">Tablica 2 </w:t>
      </w:r>
      <w:r w:rsidR="006919C4" w:rsidRPr="001A3492">
        <w:rPr>
          <w:rFonts w:ascii="Times New Roman" w:hAnsi="Times New Roman"/>
          <w:color w:val="000000" w:themeColor="text1"/>
        </w:rPr>
        <w:t>Račun prihoda i rashoda</w:t>
      </w:r>
      <w:r w:rsidR="00CB5C25" w:rsidRPr="001A3492">
        <w:rPr>
          <w:rFonts w:ascii="Times New Roman" w:hAnsi="Times New Roman"/>
          <w:color w:val="000000" w:themeColor="text1"/>
        </w:rPr>
        <w:t xml:space="preserve"> – Izvještaj o prihodima i rashodima prema ekonomskoj klasifikaciji</w:t>
      </w:r>
    </w:p>
    <w:p w14:paraId="374EC247" w14:textId="41638338" w:rsidR="006542E2" w:rsidRPr="001A3492" w:rsidRDefault="006542E2" w:rsidP="006542E2">
      <w:pPr>
        <w:pStyle w:val="Odlomakpopisa"/>
        <w:numPr>
          <w:ilvl w:val="0"/>
          <w:numId w:val="18"/>
        </w:numPr>
        <w:spacing w:line="276" w:lineRule="auto"/>
        <w:rPr>
          <w:rFonts w:ascii="Times New Roman" w:hAnsi="Times New Roman"/>
        </w:rPr>
      </w:pPr>
      <w:r w:rsidRPr="001A3492">
        <w:rPr>
          <w:rFonts w:ascii="Times New Roman" w:hAnsi="Times New Roman"/>
          <w:color w:val="000000" w:themeColor="text1"/>
        </w:rPr>
        <w:t xml:space="preserve">Tablica 3 </w:t>
      </w:r>
      <w:r w:rsidR="006919C4" w:rsidRPr="001A3492">
        <w:rPr>
          <w:rFonts w:ascii="Times New Roman" w:hAnsi="Times New Roman"/>
          <w:color w:val="000000" w:themeColor="text1"/>
        </w:rPr>
        <w:t>Račun prihoda i rashoda</w:t>
      </w:r>
      <w:r w:rsidR="00CB5C25" w:rsidRPr="001A3492">
        <w:rPr>
          <w:rFonts w:ascii="Times New Roman" w:hAnsi="Times New Roman"/>
          <w:color w:val="000000" w:themeColor="text1"/>
        </w:rPr>
        <w:t xml:space="preserve"> – Izvještaj o prihodima i rashodima prema izvorima financiranja</w:t>
      </w:r>
    </w:p>
    <w:p w14:paraId="637FFC20" w14:textId="20F023C8" w:rsidR="006542E2" w:rsidRPr="001A3492" w:rsidRDefault="006542E2" w:rsidP="00CB5C25">
      <w:pPr>
        <w:pStyle w:val="Odlomakpopisa"/>
        <w:numPr>
          <w:ilvl w:val="0"/>
          <w:numId w:val="18"/>
        </w:numPr>
        <w:spacing w:line="276" w:lineRule="auto"/>
        <w:rPr>
          <w:rFonts w:ascii="Times New Roman" w:hAnsi="Times New Roman"/>
          <w:color w:val="000000" w:themeColor="text1"/>
        </w:rPr>
      </w:pPr>
      <w:r w:rsidRPr="001A3492">
        <w:rPr>
          <w:rFonts w:ascii="Times New Roman" w:hAnsi="Times New Roman"/>
          <w:color w:val="000000" w:themeColor="text1"/>
        </w:rPr>
        <w:t xml:space="preserve">Tablica 4 </w:t>
      </w:r>
      <w:r w:rsidR="006919C4" w:rsidRPr="001A3492">
        <w:rPr>
          <w:rFonts w:ascii="Times New Roman" w:hAnsi="Times New Roman"/>
          <w:color w:val="000000" w:themeColor="text1"/>
        </w:rPr>
        <w:t xml:space="preserve">Račun prihoda i </w:t>
      </w:r>
      <w:r w:rsidR="00CB5C25" w:rsidRPr="001A3492">
        <w:rPr>
          <w:rFonts w:ascii="Times New Roman" w:hAnsi="Times New Roman"/>
          <w:color w:val="000000" w:themeColor="text1"/>
        </w:rPr>
        <w:t xml:space="preserve">rashoda – Izvještaj </w:t>
      </w:r>
      <w:r w:rsidR="006919C4" w:rsidRPr="001A3492">
        <w:rPr>
          <w:rFonts w:ascii="Times New Roman" w:hAnsi="Times New Roman"/>
          <w:color w:val="000000" w:themeColor="text1"/>
        </w:rPr>
        <w:t xml:space="preserve">o </w:t>
      </w:r>
      <w:r w:rsidR="00CB5C25" w:rsidRPr="001A3492">
        <w:rPr>
          <w:rFonts w:ascii="Times New Roman" w:hAnsi="Times New Roman"/>
          <w:color w:val="000000" w:themeColor="text1"/>
        </w:rPr>
        <w:t>rashodima prema funkcijskoj klasifikaciji</w:t>
      </w:r>
    </w:p>
    <w:p w14:paraId="53015F30" w14:textId="77777777" w:rsidR="006D6C0B" w:rsidRPr="001A3492" w:rsidRDefault="006D6C0B" w:rsidP="006D6C0B">
      <w:pPr>
        <w:pStyle w:val="Odlomakpopisa"/>
        <w:numPr>
          <w:ilvl w:val="0"/>
          <w:numId w:val="18"/>
        </w:numPr>
        <w:spacing w:line="276" w:lineRule="auto"/>
        <w:rPr>
          <w:rFonts w:ascii="Times New Roman" w:hAnsi="Times New Roman"/>
        </w:rPr>
      </w:pPr>
      <w:r w:rsidRPr="001A3492">
        <w:rPr>
          <w:rFonts w:ascii="Times New Roman" w:hAnsi="Times New Roman"/>
          <w:color w:val="000000" w:themeColor="text1"/>
        </w:rPr>
        <w:t>Tablica 5 Posebni dio</w:t>
      </w:r>
    </w:p>
    <w:p w14:paraId="1A38F2D2" w14:textId="5D12E630" w:rsidR="006542E2" w:rsidRPr="001A3492" w:rsidRDefault="006542E2" w:rsidP="00F50ECD">
      <w:pPr>
        <w:pStyle w:val="Odlomakpopisa"/>
        <w:tabs>
          <w:tab w:val="left" w:pos="113"/>
        </w:tabs>
        <w:rPr>
          <w:rFonts w:ascii="Times New Roman" w:hAnsi="Times New Roman"/>
        </w:rPr>
      </w:pPr>
    </w:p>
    <w:p w14:paraId="39159AC7" w14:textId="77777777" w:rsidR="006919C4" w:rsidRPr="006542E2" w:rsidRDefault="006919C4" w:rsidP="00F50ECD">
      <w:pPr>
        <w:pStyle w:val="Odlomakpopisa"/>
        <w:tabs>
          <w:tab w:val="left" w:pos="113"/>
        </w:tabs>
        <w:rPr>
          <w:rFonts w:ascii="Times New Roman" w:hAnsi="Times New Roman"/>
        </w:rPr>
      </w:pPr>
    </w:p>
    <w:sectPr w:rsidR="006919C4" w:rsidRPr="006542E2" w:rsidSect="00D86DD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5FCA2" w14:textId="77777777" w:rsidR="00BC58CE" w:rsidRDefault="00BC58CE" w:rsidP="00304209">
      <w:r>
        <w:separator/>
      </w:r>
    </w:p>
  </w:endnote>
  <w:endnote w:type="continuationSeparator" w:id="0">
    <w:p w14:paraId="2D7C8D74" w14:textId="77777777" w:rsidR="00BC58CE" w:rsidRDefault="00BC58CE" w:rsidP="0030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152665"/>
      <w:docPartObj>
        <w:docPartGallery w:val="Page Numbers (Bottom of Page)"/>
        <w:docPartUnique/>
      </w:docPartObj>
    </w:sdtPr>
    <w:sdtEndPr/>
    <w:sdtContent>
      <w:p w14:paraId="6881D9E8" w14:textId="6F91A683" w:rsidR="00DF46D4" w:rsidRDefault="00DF46D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99DD06" w14:textId="77777777" w:rsidR="00DF46D4" w:rsidRDefault="00DF46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028567"/>
      <w:docPartObj>
        <w:docPartGallery w:val="Page Numbers (Bottom of Page)"/>
        <w:docPartUnique/>
      </w:docPartObj>
    </w:sdtPr>
    <w:sdtEndPr/>
    <w:sdtContent>
      <w:p w14:paraId="55C8D9A4" w14:textId="48B5F77F" w:rsidR="00DF46D4" w:rsidRDefault="00DF46D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C02">
          <w:rPr>
            <w:noProof/>
          </w:rPr>
          <w:t>17</w:t>
        </w:r>
        <w:r>
          <w:fldChar w:fldCharType="end"/>
        </w:r>
      </w:p>
    </w:sdtContent>
  </w:sdt>
  <w:p w14:paraId="304A7921" w14:textId="77777777" w:rsidR="00DF46D4" w:rsidRPr="009461FD" w:rsidRDefault="00DF46D4" w:rsidP="009461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1D5D8" w14:textId="77777777" w:rsidR="00BC58CE" w:rsidRDefault="00BC58CE" w:rsidP="00304209">
      <w:r>
        <w:separator/>
      </w:r>
    </w:p>
  </w:footnote>
  <w:footnote w:type="continuationSeparator" w:id="0">
    <w:p w14:paraId="4853754C" w14:textId="77777777" w:rsidR="00BC58CE" w:rsidRDefault="00BC58CE" w:rsidP="00304209">
      <w:r>
        <w:continuationSeparator/>
      </w:r>
    </w:p>
  </w:footnote>
  <w:footnote w:id="1">
    <w:p w14:paraId="1864FAA9" w14:textId="60182810" w:rsidR="00DF46D4" w:rsidRPr="00B416E9" w:rsidRDefault="00DF46D4">
      <w:pPr>
        <w:pStyle w:val="Tekstfusnote"/>
        <w:rPr>
          <w:color w:val="FF0000"/>
        </w:rPr>
      </w:pPr>
      <w:r>
        <w:rPr>
          <w:rStyle w:val="Referencafusnote"/>
        </w:rPr>
        <w:t>*</w:t>
      </w:r>
      <w:r>
        <w:t xml:space="preserve"> </w:t>
      </w:r>
      <w:r w:rsidRPr="00D81544">
        <w:rPr>
          <w:rFonts w:cs="Arial"/>
          <w:bCs/>
          <w:i/>
        </w:rPr>
        <w:t>Fiksni tečaj konverzije 7,53450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35773"/>
      <w:docPartObj>
        <w:docPartGallery w:val="Page Numbers (Top of Page)"/>
        <w:docPartUnique/>
      </w:docPartObj>
    </w:sdtPr>
    <w:sdtEndPr/>
    <w:sdtContent>
      <w:p w14:paraId="388A0A27" w14:textId="069BA230" w:rsidR="00DF46D4" w:rsidRDefault="00DF46D4">
        <w:pPr>
          <w:pStyle w:val="Zaglavlje"/>
          <w:jc w:val="center"/>
        </w:pPr>
        <w:r>
          <w:t>1</w:t>
        </w:r>
      </w:p>
    </w:sdtContent>
  </w:sdt>
  <w:p w14:paraId="5D79265C" w14:textId="77777777" w:rsidR="00DF46D4" w:rsidRDefault="00DF46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39B4"/>
    <w:multiLevelType w:val="hybridMultilevel"/>
    <w:tmpl w:val="097294A2"/>
    <w:lvl w:ilvl="0" w:tplc="8A126072">
      <w:start w:val="1"/>
      <w:numFmt w:val="decimal"/>
      <w:pStyle w:val="Style1"/>
      <w:lvlText w:val="%1."/>
      <w:lvlJc w:val="left"/>
      <w:pPr>
        <w:ind w:left="5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3" w:hanging="360"/>
      </w:pPr>
    </w:lvl>
    <w:lvl w:ilvl="2" w:tplc="041A001B" w:tentative="1">
      <w:start w:val="1"/>
      <w:numFmt w:val="lowerRoman"/>
      <w:lvlText w:val="%3."/>
      <w:lvlJc w:val="right"/>
      <w:pPr>
        <w:ind w:left="1943" w:hanging="180"/>
      </w:pPr>
    </w:lvl>
    <w:lvl w:ilvl="3" w:tplc="041A000F" w:tentative="1">
      <w:start w:val="1"/>
      <w:numFmt w:val="decimal"/>
      <w:lvlText w:val="%4."/>
      <w:lvlJc w:val="left"/>
      <w:pPr>
        <w:ind w:left="2663" w:hanging="360"/>
      </w:pPr>
    </w:lvl>
    <w:lvl w:ilvl="4" w:tplc="041A0019" w:tentative="1">
      <w:start w:val="1"/>
      <w:numFmt w:val="lowerLetter"/>
      <w:lvlText w:val="%5."/>
      <w:lvlJc w:val="left"/>
      <w:pPr>
        <w:ind w:left="3383" w:hanging="360"/>
      </w:pPr>
    </w:lvl>
    <w:lvl w:ilvl="5" w:tplc="041A001B" w:tentative="1">
      <w:start w:val="1"/>
      <w:numFmt w:val="lowerRoman"/>
      <w:lvlText w:val="%6."/>
      <w:lvlJc w:val="right"/>
      <w:pPr>
        <w:ind w:left="4103" w:hanging="180"/>
      </w:pPr>
    </w:lvl>
    <w:lvl w:ilvl="6" w:tplc="041A000F" w:tentative="1">
      <w:start w:val="1"/>
      <w:numFmt w:val="decimal"/>
      <w:lvlText w:val="%7."/>
      <w:lvlJc w:val="left"/>
      <w:pPr>
        <w:ind w:left="4823" w:hanging="360"/>
      </w:pPr>
    </w:lvl>
    <w:lvl w:ilvl="7" w:tplc="041A0019" w:tentative="1">
      <w:start w:val="1"/>
      <w:numFmt w:val="lowerLetter"/>
      <w:lvlText w:val="%8."/>
      <w:lvlJc w:val="left"/>
      <w:pPr>
        <w:ind w:left="5543" w:hanging="360"/>
      </w:pPr>
    </w:lvl>
    <w:lvl w:ilvl="8" w:tplc="041A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0B89400A"/>
    <w:multiLevelType w:val="hybridMultilevel"/>
    <w:tmpl w:val="378AFF32"/>
    <w:lvl w:ilvl="0" w:tplc="F7925054">
      <w:start w:val="13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B664B4"/>
    <w:multiLevelType w:val="multilevel"/>
    <w:tmpl w:val="A2DEB35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4E0D32"/>
    <w:multiLevelType w:val="multilevel"/>
    <w:tmpl w:val="A2DEB35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925B6B"/>
    <w:multiLevelType w:val="hybridMultilevel"/>
    <w:tmpl w:val="B47224FE"/>
    <w:lvl w:ilvl="0" w:tplc="37E24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2A67"/>
    <w:multiLevelType w:val="hybridMultilevel"/>
    <w:tmpl w:val="AF2E2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C7250"/>
    <w:multiLevelType w:val="hybridMultilevel"/>
    <w:tmpl w:val="5B00A19C"/>
    <w:lvl w:ilvl="0" w:tplc="041A0017">
      <w:start w:val="1"/>
      <w:numFmt w:val="lowerLetter"/>
      <w:lvlText w:val="%1)"/>
      <w:lvlJc w:val="left"/>
      <w:pPr>
        <w:ind w:left="1344" w:hanging="360"/>
      </w:pPr>
    </w:lvl>
    <w:lvl w:ilvl="1" w:tplc="041A0019" w:tentative="1">
      <w:start w:val="1"/>
      <w:numFmt w:val="lowerLetter"/>
      <w:lvlText w:val="%2."/>
      <w:lvlJc w:val="left"/>
      <w:pPr>
        <w:ind w:left="2064" w:hanging="360"/>
      </w:pPr>
    </w:lvl>
    <w:lvl w:ilvl="2" w:tplc="041A001B" w:tentative="1">
      <w:start w:val="1"/>
      <w:numFmt w:val="lowerRoman"/>
      <w:lvlText w:val="%3."/>
      <w:lvlJc w:val="right"/>
      <w:pPr>
        <w:ind w:left="2784" w:hanging="180"/>
      </w:pPr>
    </w:lvl>
    <w:lvl w:ilvl="3" w:tplc="041A000F" w:tentative="1">
      <w:start w:val="1"/>
      <w:numFmt w:val="decimal"/>
      <w:lvlText w:val="%4."/>
      <w:lvlJc w:val="left"/>
      <w:pPr>
        <w:ind w:left="3504" w:hanging="360"/>
      </w:pPr>
    </w:lvl>
    <w:lvl w:ilvl="4" w:tplc="041A0019" w:tentative="1">
      <w:start w:val="1"/>
      <w:numFmt w:val="lowerLetter"/>
      <w:lvlText w:val="%5."/>
      <w:lvlJc w:val="left"/>
      <w:pPr>
        <w:ind w:left="4224" w:hanging="360"/>
      </w:pPr>
    </w:lvl>
    <w:lvl w:ilvl="5" w:tplc="041A001B" w:tentative="1">
      <w:start w:val="1"/>
      <w:numFmt w:val="lowerRoman"/>
      <w:lvlText w:val="%6."/>
      <w:lvlJc w:val="right"/>
      <w:pPr>
        <w:ind w:left="4944" w:hanging="180"/>
      </w:pPr>
    </w:lvl>
    <w:lvl w:ilvl="6" w:tplc="041A000F" w:tentative="1">
      <w:start w:val="1"/>
      <w:numFmt w:val="decimal"/>
      <w:lvlText w:val="%7."/>
      <w:lvlJc w:val="left"/>
      <w:pPr>
        <w:ind w:left="5664" w:hanging="360"/>
      </w:pPr>
    </w:lvl>
    <w:lvl w:ilvl="7" w:tplc="041A0019" w:tentative="1">
      <w:start w:val="1"/>
      <w:numFmt w:val="lowerLetter"/>
      <w:lvlText w:val="%8."/>
      <w:lvlJc w:val="left"/>
      <w:pPr>
        <w:ind w:left="6384" w:hanging="360"/>
      </w:pPr>
    </w:lvl>
    <w:lvl w:ilvl="8" w:tplc="041A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18965D1F"/>
    <w:multiLevelType w:val="hybridMultilevel"/>
    <w:tmpl w:val="010EB0F0"/>
    <w:lvl w:ilvl="0" w:tplc="605AEA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92B53"/>
    <w:multiLevelType w:val="hybridMultilevel"/>
    <w:tmpl w:val="9196AE98"/>
    <w:lvl w:ilvl="0" w:tplc="989C46E8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F3D3121"/>
    <w:multiLevelType w:val="hybridMultilevel"/>
    <w:tmpl w:val="D688AD78"/>
    <w:lvl w:ilvl="0" w:tplc="70E2121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45F"/>
    <w:multiLevelType w:val="hybridMultilevel"/>
    <w:tmpl w:val="8460FFF0"/>
    <w:lvl w:ilvl="0" w:tplc="125836CC">
      <w:start w:val="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C7DDE"/>
    <w:multiLevelType w:val="multilevel"/>
    <w:tmpl w:val="1390CC5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226B1C6E"/>
    <w:multiLevelType w:val="multilevel"/>
    <w:tmpl w:val="CB2E3C4A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2596212F"/>
    <w:multiLevelType w:val="hybridMultilevel"/>
    <w:tmpl w:val="7A385D14"/>
    <w:lvl w:ilvl="0" w:tplc="041A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14F6A"/>
    <w:multiLevelType w:val="hybridMultilevel"/>
    <w:tmpl w:val="A676A7AC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B9D7171"/>
    <w:multiLevelType w:val="hybridMultilevel"/>
    <w:tmpl w:val="0A2ED80A"/>
    <w:lvl w:ilvl="0" w:tplc="70E2121E">
      <w:start w:val="1"/>
      <w:numFmt w:val="bullet"/>
      <w:lvlText w:val="−"/>
      <w:lvlJc w:val="left"/>
      <w:pPr>
        <w:ind w:left="106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D7817E5"/>
    <w:multiLevelType w:val="hybridMultilevel"/>
    <w:tmpl w:val="3EB6190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E48445A"/>
    <w:multiLevelType w:val="hybridMultilevel"/>
    <w:tmpl w:val="C472E4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04980"/>
    <w:multiLevelType w:val="hybridMultilevel"/>
    <w:tmpl w:val="ED58F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C4A4F"/>
    <w:multiLevelType w:val="multilevel"/>
    <w:tmpl w:val="DE4A687C"/>
    <w:lvl w:ilvl="0">
      <w:start w:val="1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65"/>
      <w:numFmt w:val="decimal"/>
      <w:lvlText w:val="%1.%2"/>
      <w:lvlJc w:val="left"/>
      <w:pPr>
        <w:ind w:left="768" w:hanging="768"/>
      </w:pPr>
      <w:rPr>
        <w:rFonts w:hint="default"/>
      </w:rPr>
    </w:lvl>
    <w:lvl w:ilvl="2">
      <w:start w:val="671"/>
      <w:numFmt w:val="decimal"/>
      <w:lvlText w:val="%1.%2.%3"/>
      <w:lvlJc w:val="left"/>
      <w:pPr>
        <w:ind w:left="768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EE2EDD"/>
    <w:multiLevelType w:val="hybridMultilevel"/>
    <w:tmpl w:val="93466B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567B2"/>
    <w:multiLevelType w:val="multilevel"/>
    <w:tmpl w:val="B18CB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CB40E20"/>
    <w:multiLevelType w:val="hybridMultilevel"/>
    <w:tmpl w:val="4D2C2688"/>
    <w:lvl w:ilvl="0" w:tplc="E4AC3CA8">
      <w:start w:val="5"/>
      <w:numFmt w:val="bullet"/>
      <w:lvlText w:val="-"/>
      <w:lvlJc w:val="left"/>
      <w:pPr>
        <w:ind w:left="93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41826171"/>
    <w:multiLevelType w:val="multilevel"/>
    <w:tmpl w:val="DD48A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5003493E"/>
    <w:multiLevelType w:val="hybridMultilevel"/>
    <w:tmpl w:val="93D4D34A"/>
    <w:lvl w:ilvl="0" w:tplc="6616D644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2892791"/>
    <w:multiLevelType w:val="hybridMultilevel"/>
    <w:tmpl w:val="EDF21DFE"/>
    <w:lvl w:ilvl="0" w:tplc="3FB2190A">
      <w:numFmt w:val="bullet"/>
      <w:lvlText w:val="-"/>
      <w:lvlJc w:val="left"/>
      <w:pPr>
        <w:ind w:left="1068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40D0171"/>
    <w:multiLevelType w:val="hybridMultilevel"/>
    <w:tmpl w:val="1EEA5F18"/>
    <w:lvl w:ilvl="0" w:tplc="041A0001">
      <w:start w:val="78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3745E"/>
    <w:multiLevelType w:val="hybridMultilevel"/>
    <w:tmpl w:val="4ECC67A4"/>
    <w:lvl w:ilvl="0" w:tplc="53FE960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BC711F1"/>
    <w:multiLevelType w:val="hybridMultilevel"/>
    <w:tmpl w:val="2EDAB5D6"/>
    <w:lvl w:ilvl="0" w:tplc="6B4E153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1B7556C"/>
    <w:multiLevelType w:val="hybridMultilevel"/>
    <w:tmpl w:val="A5DA1CB8"/>
    <w:lvl w:ilvl="0" w:tplc="041A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727E238B"/>
    <w:multiLevelType w:val="multilevel"/>
    <w:tmpl w:val="796E0A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415B07"/>
    <w:multiLevelType w:val="hybridMultilevel"/>
    <w:tmpl w:val="708AC1A0"/>
    <w:lvl w:ilvl="0" w:tplc="70E2121E">
      <w:start w:val="1"/>
      <w:numFmt w:val="bullet"/>
      <w:lvlText w:val="−"/>
      <w:lvlJc w:val="left"/>
      <w:pPr>
        <w:ind w:left="148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2" w15:restartNumberingAfterBreak="0">
    <w:nsid w:val="7C202CB8"/>
    <w:multiLevelType w:val="hybridMultilevel"/>
    <w:tmpl w:val="E5F4682C"/>
    <w:lvl w:ilvl="0" w:tplc="00F29E86">
      <w:numFmt w:val="bullet"/>
      <w:lvlText w:val="-"/>
      <w:lvlJc w:val="left"/>
      <w:pPr>
        <w:ind w:left="1068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31"/>
  </w:num>
  <w:num w:numId="5">
    <w:abstractNumId w:val="30"/>
  </w:num>
  <w:num w:numId="6">
    <w:abstractNumId w:val="27"/>
  </w:num>
  <w:num w:numId="7">
    <w:abstractNumId w:val="1"/>
  </w:num>
  <w:num w:numId="8">
    <w:abstractNumId w:val="10"/>
  </w:num>
  <w:num w:numId="9">
    <w:abstractNumId w:val="6"/>
  </w:num>
  <w:num w:numId="10">
    <w:abstractNumId w:val="15"/>
  </w:num>
  <w:num w:numId="11">
    <w:abstractNumId w:val="32"/>
  </w:num>
  <w:num w:numId="12">
    <w:abstractNumId w:val="25"/>
  </w:num>
  <w:num w:numId="13">
    <w:abstractNumId w:val="20"/>
  </w:num>
  <w:num w:numId="14">
    <w:abstractNumId w:val="8"/>
  </w:num>
  <w:num w:numId="15">
    <w:abstractNumId w:val="26"/>
  </w:num>
  <w:num w:numId="16">
    <w:abstractNumId w:val="21"/>
  </w:num>
  <w:num w:numId="17">
    <w:abstractNumId w:val="28"/>
  </w:num>
  <w:num w:numId="18">
    <w:abstractNumId w:val="18"/>
  </w:num>
  <w:num w:numId="19">
    <w:abstractNumId w:val="23"/>
  </w:num>
  <w:num w:numId="20">
    <w:abstractNumId w:val="5"/>
  </w:num>
  <w:num w:numId="21">
    <w:abstractNumId w:val="4"/>
  </w:num>
  <w:num w:numId="22">
    <w:abstractNumId w:val="0"/>
  </w:num>
  <w:num w:numId="23">
    <w:abstractNumId w:val="3"/>
  </w:num>
  <w:num w:numId="24">
    <w:abstractNumId w:val="19"/>
  </w:num>
  <w:num w:numId="25">
    <w:abstractNumId w:val="13"/>
  </w:num>
  <w:num w:numId="26">
    <w:abstractNumId w:val="22"/>
  </w:num>
  <w:num w:numId="27">
    <w:abstractNumId w:val="24"/>
  </w:num>
  <w:num w:numId="28">
    <w:abstractNumId w:val="9"/>
  </w:num>
  <w:num w:numId="29">
    <w:abstractNumId w:val="11"/>
  </w:num>
  <w:num w:numId="30">
    <w:abstractNumId w:val="29"/>
  </w:num>
  <w:num w:numId="31">
    <w:abstractNumId w:val="16"/>
  </w:num>
  <w:num w:numId="32">
    <w:abstractNumId w:val="12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CE"/>
    <w:rsid w:val="0000028F"/>
    <w:rsid w:val="00000B27"/>
    <w:rsid w:val="00000D72"/>
    <w:rsid w:val="000015D2"/>
    <w:rsid w:val="0000307B"/>
    <w:rsid w:val="000032D2"/>
    <w:rsid w:val="000036CC"/>
    <w:rsid w:val="000037E9"/>
    <w:rsid w:val="0000431C"/>
    <w:rsid w:val="000044B0"/>
    <w:rsid w:val="000049E9"/>
    <w:rsid w:val="0000688D"/>
    <w:rsid w:val="000073A2"/>
    <w:rsid w:val="00007426"/>
    <w:rsid w:val="00011916"/>
    <w:rsid w:val="0001199C"/>
    <w:rsid w:val="00011D86"/>
    <w:rsid w:val="0001202A"/>
    <w:rsid w:val="00012C07"/>
    <w:rsid w:val="0001367E"/>
    <w:rsid w:val="000156BA"/>
    <w:rsid w:val="00017307"/>
    <w:rsid w:val="0002154C"/>
    <w:rsid w:val="00021EA2"/>
    <w:rsid w:val="0002227F"/>
    <w:rsid w:val="00024357"/>
    <w:rsid w:val="0002476B"/>
    <w:rsid w:val="000248E1"/>
    <w:rsid w:val="000251D3"/>
    <w:rsid w:val="000258A0"/>
    <w:rsid w:val="0002682F"/>
    <w:rsid w:val="0002725E"/>
    <w:rsid w:val="00030843"/>
    <w:rsid w:val="00031B0A"/>
    <w:rsid w:val="000327AA"/>
    <w:rsid w:val="00033127"/>
    <w:rsid w:val="00033D9D"/>
    <w:rsid w:val="0003430A"/>
    <w:rsid w:val="0003443A"/>
    <w:rsid w:val="00034883"/>
    <w:rsid w:val="00035DEA"/>
    <w:rsid w:val="00035E2C"/>
    <w:rsid w:val="000371B9"/>
    <w:rsid w:val="00037C70"/>
    <w:rsid w:val="00041D2F"/>
    <w:rsid w:val="0004225D"/>
    <w:rsid w:val="00042FBA"/>
    <w:rsid w:val="000432C7"/>
    <w:rsid w:val="00047226"/>
    <w:rsid w:val="000477C3"/>
    <w:rsid w:val="00047DE5"/>
    <w:rsid w:val="00050728"/>
    <w:rsid w:val="000508AF"/>
    <w:rsid w:val="00052143"/>
    <w:rsid w:val="0005270D"/>
    <w:rsid w:val="00052FAD"/>
    <w:rsid w:val="00053748"/>
    <w:rsid w:val="000552AD"/>
    <w:rsid w:val="00055BAF"/>
    <w:rsid w:val="000605F3"/>
    <w:rsid w:val="000622A5"/>
    <w:rsid w:val="000637C8"/>
    <w:rsid w:val="00063E26"/>
    <w:rsid w:val="0006560E"/>
    <w:rsid w:val="000665BA"/>
    <w:rsid w:val="000665D6"/>
    <w:rsid w:val="000667F8"/>
    <w:rsid w:val="0006734A"/>
    <w:rsid w:val="00067FC1"/>
    <w:rsid w:val="0007108A"/>
    <w:rsid w:val="00071B11"/>
    <w:rsid w:val="00071DB0"/>
    <w:rsid w:val="00073F34"/>
    <w:rsid w:val="0007445F"/>
    <w:rsid w:val="00075B12"/>
    <w:rsid w:val="0008073B"/>
    <w:rsid w:val="00080B84"/>
    <w:rsid w:val="00080DDA"/>
    <w:rsid w:val="0008103A"/>
    <w:rsid w:val="00081C35"/>
    <w:rsid w:val="00082DA5"/>
    <w:rsid w:val="00082EF7"/>
    <w:rsid w:val="0008549C"/>
    <w:rsid w:val="000858BC"/>
    <w:rsid w:val="00086B8E"/>
    <w:rsid w:val="0008724E"/>
    <w:rsid w:val="000905F7"/>
    <w:rsid w:val="0009063B"/>
    <w:rsid w:val="00092EF6"/>
    <w:rsid w:val="00094400"/>
    <w:rsid w:val="000958AB"/>
    <w:rsid w:val="00096BF3"/>
    <w:rsid w:val="0009733A"/>
    <w:rsid w:val="00097BA9"/>
    <w:rsid w:val="000A16A1"/>
    <w:rsid w:val="000A7285"/>
    <w:rsid w:val="000B1377"/>
    <w:rsid w:val="000B4A3F"/>
    <w:rsid w:val="000B4D36"/>
    <w:rsid w:val="000B5668"/>
    <w:rsid w:val="000B5F02"/>
    <w:rsid w:val="000C1467"/>
    <w:rsid w:val="000C1650"/>
    <w:rsid w:val="000C1C82"/>
    <w:rsid w:val="000C20B1"/>
    <w:rsid w:val="000C2625"/>
    <w:rsid w:val="000C41D4"/>
    <w:rsid w:val="000C5975"/>
    <w:rsid w:val="000C641D"/>
    <w:rsid w:val="000C64D8"/>
    <w:rsid w:val="000C69D6"/>
    <w:rsid w:val="000C6D1F"/>
    <w:rsid w:val="000C77E8"/>
    <w:rsid w:val="000D0F25"/>
    <w:rsid w:val="000D1BCB"/>
    <w:rsid w:val="000D289D"/>
    <w:rsid w:val="000D503C"/>
    <w:rsid w:val="000D6EF4"/>
    <w:rsid w:val="000D7509"/>
    <w:rsid w:val="000D7F32"/>
    <w:rsid w:val="000E0134"/>
    <w:rsid w:val="000E05AA"/>
    <w:rsid w:val="000E0959"/>
    <w:rsid w:val="000E2335"/>
    <w:rsid w:val="000E26DA"/>
    <w:rsid w:val="000E2CF6"/>
    <w:rsid w:val="000E336F"/>
    <w:rsid w:val="000E565D"/>
    <w:rsid w:val="000E585E"/>
    <w:rsid w:val="000E5A44"/>
    <w:rsid w:val="000E5D50"/>
    <w:rsid w:val="000E6EBE"/>
    <w:rsid w:val="000F3CBE"/>
    <w:rsid w:val="000F45CE"/>
    <w:rsid w:val="000F5324"/>
    <w:rsid w:val="000F5C0E"/>
    <w:rsid w:val="000F5E0C"/>
    <w:rsid w:val="000F7106"/>
    <w:rsid w:val="000F7586"/>
    <w:rsid w:val="00100AB5"/>
    <w:rsid w:val="00103C2B"/>
    <w:rsid w:val="001062A0"/>
    <w:rsid w:val="0010634E"/>
    <w:rsid w:val="00106AC1"/>
    <w:rsid w:val="00110229"/>
    <w:rsid w:val="0011081D"/>
    <w:rsid w:val="001110B4"/>
    <w:rsid w:val="001118F8"/>
    <w:rsid w:val="001126AB"/>
    <w:rsid w:val="00112FA7"/>
    <w:rsid w:val="00113180"/>
    <w:rsid w:val="001142DD"/>
    <w:rsid w:val="001209B3"/>
    <w:rsid w:val="00120BC2"/>
    <w:rsid w:val="00121AF1"/>
    <w:rsid w:val="00121DBB"/>
    <w:rsid w:val="00122159"/>
    <w:rsid w:val="001240B7"/>
    <w:rsid w:val="001240F0"/>
    <w:rsid w:val="001241E6"/>
    <w:rsid w:val="00126079"/>
    <w:rsid w:val="00130D51"/>
    <w:rsid w:val="00131C65"/>
    <w:rsid w:val="00132917"/>
    <w:rsid w:val="00132EAC"/>
    <w:rsid w:val="0013313E"/>
    <w:rsid w:val="001342D9"/>
    <w:rsid w:val="001342F4"/>
    <w:rsid w:val="001345C3"/>
    <w:rsid w:val="00134851"/>
    <w:rsid w:val="001352A4"/>
    <w:rsid w:val="00135A8E"/>
    <w:rsid w:val="001405DC"/>
    <w:rsid w:val="00141523"/>
    <w:rsid w:val="0014214A"/>
    <w:rsid w:val="0014214B"/>
    <w:rsid w:val="00142F59"/>
    <w:rsid w:val="00143A14"/>
    <w:rsid w:val="00145399"/>
    <w:rsid w:val="00145725"/>
    <w:rsid w:val="0014579E"/>
    <w:rsid w:val="001477B3"/>
    <w:rsid w:val="00147E57"/>
    <w:rsid w:val="001501FF"/>
    <w:rsid w:val="00151C31"/>
    <w:rsid w:val="001532AD"/>
    <w:rsid w:val="0015554B"/>
    <w:rsid w:val="00156F48"/>
    <w:rsid w:val="00156F7C"/>
    <w:rsid w:val="001575E1"/>
    <w:rsid w:val="00157EE7"/>
    <w:rsid w:val="0016094D"/>
    <w:rsid w:val="001620C4"/>
    <w:rsid w:val="00162993"/>
    <w:rsid w:val="00162C40"/>
    <w:rsid w:val="00163AAA"/>
    <w:rsid w:val="00165193"/>
    <w:rsid w:val="00165346"/>
    <w:rsid w:val="001661E4"/>
    <w:rsid w:val="001674CB"/>
    <w:rsid w:val="001674FE"/>
    <w:rsid w:val="0017211D"/>
    <w:rsid w:val="0017258F"/>
    <w:rsid w:val="001728AE"/>
    <w:rsid w:val="0017413A"/>
    <w:rsid w:val="001774A4"/>
    <w:rsid w:val="00180892"/>
    <w:rsid w:val="00180CD2"/>
    <w:rsid w:val="00183674"/>
    <w:rsid w:val="001836CB"/>
    <w:rsid w:val="00183707"/>
    <w:rsid w:val="0018649E"/>
    <w:rsid w:val="00193C8F"/>
    <w:rsid w:val="00194E51"/>
    <w:rsid w:val="001A10C8"/>
    <w:rsid w:val="001A18CF"/>
    <w:rsid w:val="001A1E8B"/>
    <w:rsid w:val="001A27E4"/>
    <w:rsid w:val="001A2AEF"/>
    <w:rsid w:val="001A3492"/>
    <w:rsid w:val="001A4FB7"/>
    <w:rsid w:val="001A6B80"/>
    <w:rsid w:val="001A725E"/>
    <w:rsid w:val="001B0AEA"/>
    <w:rsid w:val="001B1BD5"/>
    <w:rsid w:val="001B1C0A"/>
    <w:rsid w:val="001B2859"/>
    <w:rsid w:val="001B2EAC"/>
    <w:rsid w:val="001B3389"/>
    <w:rsid w:val="001B448D"/>
    <w:rsid w:val="001B5E1A"/>
    <w:rsid w:val="001B5FBD"/>
    <w:rsid w:val="001B775E"/>
    <w:rsid w:val="001C1879"/>
    <w:rsid w:val="001C298B"/>
    <w:rsid w:val="001C29D4"/>
    <w:rsid w:val="001C39A2"/>
    <w:rsid w:val="001C4255"/>
    <w:rsid w:val="001C4762"/>
    <w:rsid w:val="001C5540"/>
    <w:rsid w:val="001C6280"/>
    <w:rsid w:val="001C7C16"/>
    <w:rsid w:val="001D27AA"/>
    <w:rsid w:val="001D30F0"/>
    <w:rsid w:val="001D46B8"/>
    <w:rsid w:val="001D5678"/>
    <w:rsid w:val="001D6085"/>
    <w:rsid w:val="001E1089"/>
    <w:rsid w:val="001E3BCE"/>
    <w:rsid w:val="001E53D4"/>
    <w:rsid w:val="001E5DE2"/>
    <w:rsid w:val="001E76A1"/>
    <w:rsid w:val="001E7892"/>
    <w:rsid w:val="001E7912"/>
    <w:rsid w:val="001F090C"/>
    <w:rsid w:val="001F1223"/>
    <w:rsid w:val="001F1AC3"/>
    <w:rsid w:val="001F339F"/>
    <w:rsid w:val="001F479B"/>
    <w:rsid w:val="001F532B"/>
    <w:rsid w:val="001F5D0B"/>
    <w:rsid w:val="001F6D11"/>
    <w:rsid w:val="00200120"/>
    <w:rsid w:val="0020064C"/>
    <w:rsid w:val="00201F4B"/>
    <w:rsid w:val="002041A1"/>
    <w:rsid w:val="00204E98"/>
    <w:rsid w:val="002063D4"/>
    <w:rsid w:val="0021085D"/>
    <w:rsid w:val="00211865"/>
    <w:rsid w:val="00215A61"/>
    <w:rsid w:val="002223E0"/>
    <w:rsid w:val="00223E09"/>
    <w:rsid w:val="002251E9"/>
    <w:rsid w:val="00225F69"/>
    <w:rsid w:val="00227BCF"/>
    <w:rsid w:val="00231D40"/>
    <w:rsid w:val="00232956"/>
    <w:rsid w:val="00234678"/>
    <w:rsid w:val="00235A30"/>
    <w:rsid w:val="00236FE8"/>
    <w:rsid w:val="002372DA"/>
    <w:rsid w:val="0023735D"/>
    <w:rsid w:val="00241C4A"/>
    <w:rsid w:val="002425E0"/>
    <w:rsid w:val="00243204"/>
    <w:rsid w:val="00244291"/>
    <w:rsid w:val="002459ED"/>
    <w:rsid w:val="00245BFD"/>
    <w:rsid w:val="00247A61"/>
    <w:rsid w:val="00250ADE"/>
    <w:rsid w:val="00252115"/>
    <w:rsid w:val="00253110"/>
    <w:rsid w:val="00253B02"/>
    <w:rsid w:val="00255A3B"/>
    <w:rsid w:val="0025664E"/>
    <w:rsid w:val="00262462"/>
    <w:rsid w:val="00262F6C"/>
    <w:rsid w:val="00265377"/>
    <w:rsid w:val="00266F96"/>
    <w:rsid w:val="00267EF9"/>
    <w:rsid w:val="00272BC1"/>
    <w:rsid w:val="002751EF"/>
    <w:rsid w:val="00275949"/>
    <w:rsid w:val="002803AE"/>
    <w:rsid w:val="00280AD0"/>
    <w:rsid w:val="00281BD3"/>
    <w:rsid w:val="00281E26"/>
    <w:rsid w:val="00286942"/>
    <w:rsid w:val="0029279C"/>
    <w:rsid w:val="00292A12"/>
    <w:rsid w:val="00296326"/>
    <w:rsid w:val="00296F71"/>
    <w:rsid w:val="002A2147"/>
    <w:rsid w:val="002A3D91"/>
    <w:rsid w:val="002A3E6D"/>
    <w:rsid w:val="002A50B8"/>
    <w:rsid w:val="002A6783"/>
    <w:rsid w:val="002A6A15"/>
    <w:rsid w:val="002A7927"/>
    <w:rsid w:val="002B1EFC"/>
    <w:rsid w:val="002B2BA8"/>
    <w:rsid w:val="002B38C5"/>
    <w:rsid w:val="002B4220"/>
    <w:rsid w:val="002B6EF6"/>
    <w:rsid w:val="002B7597"/>
    <w:rsid w:val="002B7AFD"/>
    <w:rsid w:val="002B7F2A"/>
    <w:rsid w:val="002C3BD6"/>
    <w:rsid w:val="002C46B8"/>
    <w:rsid w:val="002D082A"/>
    <w:rsid w:val="002D3147"/>
    <w:rsid w:val="002D3A8D"/>
    <w:rsid w:val="002D7CA2"/>
    <w:rsid w:val="002E016C"/>
    <w:rsid w:val="002E0DB5"/>
    <w:rsid w:val="002E1988"/>
    <w:rsid w:val="002E261B"/>
    <w:rsid w:val="002E6930"/>
    <w:rsid w:val="002E6D3B"/>
    <w:rsid w:val="002F0440"/>
    <w:rsid w:val="002F06D1"/>
    <w:rsid w:val="002F17D4"/>
    <w:rsid w:val="002F24FC"/>
    <w:rsid w:val="002F36C8"/>
    <w:rsid w:val="002F5747"/>
    <w:rsid w:val="002F5E1C"/>
    <w:rsid w:val="002F79C7"/>
    <w:rsid w:val="00300DBD"/>
    <w:rsid w:val="00304209"/>
    <w:rsid w:val="0030504B"/>
    <w:rsid w:val="0030554E"/>
    <w:rsid w:val="00307284"/>
    <w:rsid w:val="0031025A"/>
    <w:rsid w:val="00311DEC"/>
    <w:rsid w:val="00312122"/>
    <w:rsid w:val="00312301"/>
    <w:rsid w:val="00313230"/>
    <w:rsid w:val="003132A8"/>
    <w:rsid w:val="0031407A"/>
    <w:rsid w:val="003146ED"/>
    <w:rsid w:val="00316FC5"/>
    <w:rsid w:val="00317210"/>
    <w:rsid w:val="00317C16"/>
    <w:rsid w:val="0032079D"/>
    <w:rsid w:val="00320A50"/>
    <w:rsid w:val="0032271D"/>
    <w:rsid w:val="00322B8C"/>
    <w:rsid w:val="00322CD1"/>
    <w:rsid w:val="00322F9B"/>
    <w:rsid w:val="0032486E"/>
    <w:rsid w:val="003249B7"/>
    <w:rsid w:val="003266A7"/>
    <w:rsid w:val="0032715D"/>
    <w:rsid w:val="00327372"/>
    <w:rsid w:val="00333E10"/>
    <w:rsid w:val="00334014"/>
    <w:rsid w:val="00335A05"/>
    <w:rsid w:val="00337B3B"/>
    <w:rsid w:val="00343966"/>
    <w:rsid w:val="00343CC3"/>
    <w:rsid w:val="00343CE5"/>
    <w:rsid w:val="00343D12"/>
    <w:rsid w:val="003443D5"/>
    <w:rsid w:val="003463C1"/>
    <w:rsid w:val="0034659B"/>
    <w:rsid w:val="0034665B"/>
    <w:rsid w:val="003466D9"/>
    <w:rsid w:val="003476A0"/>
    <w:rsid w:val="0035088D"/>
    <w:rsid w:val="00351F1A"/>
    <w:rsid w:val="00352A3C"/>
    <w:rsid w:val="00353556"/>
    <w:rsid w:val="0035435D"/>
    <w:rsid w:val="00355A73"/>
    <w:rsid w:val="00357097"/>
    <w:rsid w:val="003574B5"/>
    <w:rsid w:val="00361221"/>
    <w:rsid w:val="00361224"/>
    <w:rsid w:val="00363ECB"/>
    <w:rsid w:val="0036405C"/>
    <w:rsid w:val="00364159"/>
    <w:rsid w:val="00365E7C"/>
    <w:rsid w:val="003709D0"/>
    <w:rsid w:val="003728A2"/>
    <w:rsid w:val="0037381E"/>
    <w:rsid w:val="00374481"/>
    <w:rsid w:val="003755D1"/>
    <w:rsid w:val="00376896"/>
    <w:rsid w:val="00376969"/>
    <w:rsid w:val="00382126"/>
    <w:rsid w:val="00382E26"/>
    <w:rsid w:val="00383D2F"/>
    <w:rsid w:val="003854EA"/>
    <w:rsid w:val="00385782"/>
    <w:rsid w:val="00386C72"/>
    <w:rsid w:val="003917EA"/>
    <w:rsid w:val="00393164"/>
    <w:rsid w:val="00394E24"/>
    <w:rsid w:val="003972B2"/>
    <w:rsid w:val="00397DD8"/>
    <w:rsid w:val="003A193D"/>
    <w:rsid w:val="003A24B2"/>
    <w:rsid w:val="003A2CD5"/>
    <w:rsid w:val="003A3664"/>
    <w:rsid w:val="003A3DF2"/>
    <w:rsid w:val="003A3F8D"/>
    <w:rsid w:val="003A4FDA"/>
    <w:rsid w:val="003A6B1D"/>
    <w:rsid w:val="003B0160"/>
    <w:rsid w:val="003B106E"/>
    <w:rsid w:val="003B27AA"/>
    <w:rsid w:val="003B38AD"/>
    <w:rsid w:val="003B760F"/>
    <w:rsid w:val="003C05D7"/>
    <w:rsid w:val="003C077A"/>
    <w:rsid w:val="003C10DE"/>
    <w:rsid w:val="003C1E57"/>
    <w:rsid w:val="003C2E71"/>
    <w:rsid w:val="003C3DFD"/>
    <w:rsid w:val="003C4D16"/>
    <w:rsid w:val="003C6EE2"/>
    <w:rsid w:val="003C7888"/>
    <w:rsid w:val="003C7A63"/>
    <w:rsid w:val="003D01D4"/>
    <w:rsid w:val="003D361E"/>
    <w:rsid w:val="003D38FB"/>
    <w:rsid w:val="003D7713"/>
    <w:rsid w:val="003E023E"/>
    <w:rsid w:val="003E31E2"/>
    <w:rsid w:val="003E620D"/>
    <w:rsid w:val="003E687E"/>
    <w:rsid w:val="003E6E84"/>
    <w:rsid w:val="003E7282"/>
    <w:rsid w:val="003E7312"/>
    <w:rsid w:val="003E7623"/>
    <w:rsid w:val="003F04C0"/>
    <w:rsid w:val="003F121B"/>
    <w:rsid w:val="003F2CEB"/>
    <w:rsid w:val="003F3F2F"/>
    <w:rsid w:val="003F7643"/>
    <w:rsid w:val="00400234"/>
    <w:rsid w:val="00401A71"/>
    <w:rsid w:val="004051A0"/>
    <w:rsid w:val="004061A9"/>
    <w:rsid w:val="00406B53"/>
    <w:rsid w:val="00407C13"/>
    <w:rsid w:val="00411233"/>
    <w:rsid w:val="00411B1C"/>
    <w:rsid w:val="004124DA"/>
    <w:rsid w:val="00412EF8"/>
    <w:rsid w:val="0041315B"/>
    <w:rsid w:val="0041374A"/>
    <w:rsid w:val="0041502F"/>
    <w:rsid w:val="00415479"/>
    <w:rsid w:val="00416085"/>
    <w:rsid w:val="004164D6"/>
    <w:rsid w:val="004169D6"/>
    <w:rsid w:val="00416E66"/>
    <w:rsid w:val="004206F6"/>
    <w:rsid w:val="00420DBF"/>
    <w:rsid w:val="004221A2"/>
    <w:rsid w:val="004228F6"/>
    <w:rsid w:val="00423243"/>
    <w:rsid w:val="0042383E"/>
    <w:rsid w:val="00423E94"/>
    <w:rsid w:val="00424994"/>
    <w:rsid w:val="004251C9"/>
    <w:rsid w:val="004263F1"/>
    <w:rsid w:val="0042656F"/>
    <w:rsid w:val="0042708A"/>
    <w:rsid w:val="00430461"/>
    <w:rsid w:val="0043265E"/>
    <w:rsid w:val="004375E2"/>
    <w:rsid w:val="0043799A"/>
    <w:rsid w:val="00440358"/>
    <w:rsid w:val="00440560"/>
    <w:rsid w:val="00442146"/>
    <w:rsid w:val="00442F18"/>
    <w:rsid w:val="00446485"/>
    <w:rsid w:val="00446521"/>
    <w:rsid w:val="004475E8"/>
    <w:rsid w:val="00450091"/>
    <w:rsid w:val="0045046A"/>
    <w:rsid w:val="00450965"/>
    <w:rsid w:val="00453F49"/>
    <w:rsid w:val="00457A65"/>
    <w:rsid w:val="00462AF3"/>
    <w:rsid w:val="004664E6"/>
    <w:rsid w:val="004670D3"/>
    <w:rsid w:val="004714D2"/>
    <w:rsid w:val="00471952"/>
    <w:rsid w:val="004722BB"/>
    <w:rsid w:val="004729F1"/>
    <w:rsid w:val="004745A2"/>
    <w:rsid w:val="00474788"/>
    <w:rsid w:val="00474C43"/>
    <w:rsid w:val="00475D16"/>
    <w:rsid w:val="004813EB"/>
    <w:rsid w:val="004814AC"/>
    <w:rsid w:val="00481889"/>
    <w:rsid w:val="00481FA7"/>
    <w:rsid w:val="004835AA"/>
    <w:rsid w:val="004842FB"/>
    <w:rsid w:val="0048514E"/>
    <w:rsid w:val="004906B6"/>
    <w:rsid w:val="00492661"/>
    <w:rsid w:val="00494554"/>
    <w:rsid w:val="00495423"/>
    <w:rsid w:val="00496846"/>
    <w:rsid w:val="00496CEE"/>
    <w:rsid w:val="004970D7"/>
    <w:rsid w:val="00497917"/>
    <w:rsid w:val="004A0805"/>
    <w:rsid w:val="004A2322"/>
    <w:rsid w:val="004A2D77"/>
    <w:rsid w:val="004A2E2A"/>
    <w:rsid w:val="004A324E"/>
    <w:rsid w:val="004A3836"/>
    <w:rsid w:val="004A4010"/>
    <w:rsid w:val="004A427F"/>
    <w:rsid w:val="004A45FA"/>
    <w:rsid w:val="004A4C26"/>
    <w:rsid w:val="004A4D7F"/>
    <w:rsid w:val="004A56C9"/>
    <w:rsid w:val="004A5A60"/>
    <w:rsid w:val="004A5D82"/>
    <w:rsid w:val="004A7C52"/>
    <w:rsid w:val="004A7D0C"/>
    <w:rsid w:val="004B1027"/>
    <w:rsid w:val="004B123A"/>
    <w:rsid w:val="004B1D7D"/>
    <w:rsid w:val="004B262A"/>
    <w:rsid w:val="004B2D30"/>
    <w:rsid w:val="004B3894"/>
    <w:rsid w:val="004B5054"/>
    <w:rsid w:val="004B5D63"/>
    <w:rsid w:val="004C10A2"/>
    <w:rsid w:val="004C2326"/>
    <w:rsid w:val="004C2329"/>
    <w:rsid w:val="004C5086"/>
    <w:rsid w:val="004C535E"/>
    <w:rsid w:val="004C6DB8"/>
    <w:rsid w:val="004C731C"/>
    <w:rsid w:val="004C75A3"/>
    <w:rsid w:val="004D0C20"/>
    <w:rsid w:val="004D1EC4"/>
    <w:rsid w:val="004D28F8"/>
    <w:rsid w:val="004D5132"/>
    <w:rsid w:val="004D7122"/>
    <w:rsid w:val="004D77BB"/>
    <w:rsid w:val="004D7C20"/>
    <w:rsid w:val="004D7CCB"/>
    <w:rsid w:val="004D7F96"/>
    <w:rsid w:val="004E0027"/>
    <w:rsid w:val="004E0224"/>
    <w:rsid w:val="004E1E57"/>
    <w:rsid w:val="004E24B1"/>
    <w:rsid w:val="004E37EE"/>
    <w:rsid w:val="004E388E"/>
    <w:rsid w:val="004E53EE"/>
    <w:rsid w:val="004E5D63"/>
    <w:rsid w:val="004F1F1A"/>
    <w:rsid w:val="004F2285"/>
    <w:rsid w:val="004F26F1"/>
    <w:rsid w:val="004F28F4"/>
    <w:rsid w:val="004F2CFB"/>
    <w:rsid w:val="004F7B5E"/>
    <w:rsid w:val="004F7C70"/>
    <w:rsid w:val="0050051C"/>
    <w:rsid w:val="00500DAB"/>
    <w:rsid w:val="0050169F"/>
    <w:rsid w:val="00502709"/>
    <w:rsid w:val="00502F1F"/>
    <w:rsid w:val="005050C4"/>
    <w:rsid w:val="005076F6"/>
    <w:rsid w:val="00507C67"/>
    <w:rsid w:val="00510192"/>
    <w:rsid w:val="00510C2C"/>
    <w:rsid w:val="00511D17"/>
    <w:rsid w:val="00512261"/>
    <w:rsid w:val="00512C85"/>
    <w:rsid w:val="00512DFD"/>
    <w:rsid w:val="005149D2"/>
    <w:rsid w:val="0051599E"/>
    <w:rsid w:val="0051670A"/>
    <w:rsid w:val="00522AAC"/>
    <w:rsid w:val="00522F43"/>
    <w:rsid w:val="00523AA4"/>
    <w:rsid w:val="00524FAA"/>
    <w:rsid w:val="005271F9"/>
    <w:rsid w:val="00531924"/>
    <w:rsid w:val="005320D5"/>
    <w:rsid w:val="00535F25"/>
    <w:rsid w:val="005360FE"/>
    <w:rsid w:val="005363ED"/>
    <w:rsid w:val="00537540"/>
    <w:rsid w:val="005377EE"/>
    <w:rsid w:val="005416A7"/>
    <w:rsid w:val="00544C13"/>
    <w:rsid w:val="00544F28"/>
    <w:rsid w:val="005472C3"/>
    <w:rsid w:val="00547341"/>
    <w:rsid w:val="00547AA7"/>
    <w:rsid w:val="00555449"/>
    <w:rsid w:val="00557631"/>
    <w:rsid w:val="00557999"/>
    <w:rsid w:val="00557E85"/>
    <w:rsid w:val="00560351"/>
    <w:rsid w:val="005612DA"/>
    <w:rsid w:val="005633B7"/>
    <w:rsid w:val="00566377"/>
    <w:rsid w:val="00567CDC"/>
    <w:rsid w:val="00570932"/>
    <w:rsid w:val="0057404E"/>
    <w:rsid w:val="005745A8"/>
    <w:rsid w:val="00574A4C"/>
    <w:rsid w:val="00574B0D"/>
    <w:rsid w:val="00580D5B"/>
    <w:rsid w:val="005826B1"/>
    <w:rsid w:val="00582A3E"/>
    <w:rsid w:val="005838D9"/>
    <w:rsid w:val="005855DA"/>
    <w:rsid w:val="00585AF3"/>
    <w:rsid w:val="005862D1"/>
    <w:rsid w:val="0058646A"/>
    <w:rsid w:val="00587106"/>
    <w:rsid w:val="00591280"/>
    <w:rsid w:val="005936FE"/>
    <w:rsid w:val="005948E1"/>
    <w:rsid w:val="0059597C"/>
    <w:rsid w:val="005968E5"/>
    <w:rsid w:val="005972E2"/>
    <w:rsid w:val="0059759E"/>
    <w:rsid w:val="005A0D42"/>
    <w:rsid w:val="005A1932"/>
    <w:rsid w:val="005A4BE0"/>
    <w:rsid w:val="005A4F0C"/>
    <w:rsid w:val="005A518E"/>
    <w:rsid w:val="005A7252"/>
    <w:rsid w:val="005B0960"/>
    <w:rsid w:val="005B1510"/>
    <w:rsid w:val="005B1D98"/>
    <w:rsid w:val="005B6B85"/>
    <w:rsid w:val="005C0CDA"/>
    <w:rsid w:val="005C1250"/>
    <w:rsid w:val="005C148F"/>
    <w:rsid w:val="005C4661"/>
    <w:rsid w:val="005C5C52"/>
    <w:rsid w:val="005C7097"/>
    <w:rsid w:val="005C79E4"/>
    <w:rsid w:val="005D1800"/>
    <w:rsid w:val="005D2E2B"/>
    <w:rsid w:val="005D5333"/>
    <w:rsid w:val="005E1860"/>
    <w:rsid w:val="005E2883"/>
    <w:rsid w:val="005E338A"/>
    <w:rsid w:val="005E47EF"/>
    <w:rsid w:val="005E5642"/>
    <w:rsid w:val="005E6094"/>
    <w:rsid w:val="005E6366"/>
    <w:rsid w:val="005F0E84"/>
    <w:rsid w:val="005F217A"/>
    <w:rsid w:val="005F2650"/>
    <w:rsid w:val="005F300E"/>
    <w:rsid w:val="005F36EA"/>
    <w:rsid w:val="005F3AF3"/>
    <w:rsid w:val="005F5401"/>
    <w:rsid w:val="005F5499"/>
    <w:rsid w:val="006027E5"/>
    <w:rsid w:val="00603636"/>
    <w:rsid w:val="00603FC8"/>
    <w:rsid w:val="006046F0"/>
    <w:rsid w:val="00604DE9"/>
    <w:rsid w:val="006050EE"/>
    <w:rsid w:val="006065EB"/>
    <w:rsid w:val="0060762B"/>
    <w:rsid w:val="00607F57"/>
    <w:rsid w:val="006122A4"/>
    <w:rsid w:val="006122D1"/>
    <w:rsid w:val="0061404A"/>
    <w:rsid w:val="0061413B"/>
    <w:rsid w:val="00616D55"/>
    <w:rsid w:val="006211E4"/>
    <w:rsid w:val="00622013"/>
    <w:rsid w:val="00624975"/>
    <w:rsid w:val="0062542D"/>
    <w:rsid w:val="0062707A"/>
    <w:rsid w:val="00627679"/>
    <w:rsid w:val="00627B1C"/>
    <w:rsid w:val="00630345"/>
    <w:rsid w:val="0063034A"/>
    <w:rsid w:val="00630A3A"/>
    <w:rsid w:val="00631400"/>
    <w:rsid w:val="00631600"/>
    <w:rsid w:val="006331A7"/>
    <w:rsid w:val="00633D42"/>
    <w:rsid w:val="006343FF"/>
    <w:rsid w:val="006374F9"/>
    <w:rsid w:val="006375A3"/>
    <w:rsid w:val="006417D3"/>
    <w:rsid w:val="006427E6"/>
    <w:rsid w:val="006442A5"/>
    <w:rsid w:val="00644778"/>
    <w:rsid w:val="00644C22"/>
    <w:rsid w:val="006459A0"/>
    <w:rsid w:val="00646CDC"/>
    <w:rsid w:val="00650029"/>
    <w:rsid w:val="00650341"/>
    <w:rsid w:val="0065083E"/>
    <w:rsid w:val="00651122"/>
    <w:rsid w:val="006542E2"/>
    <w:rsid w:val="00654555"/>
    <w:rsid w:val="00654CD7"/>
    <w:rsid w:val="00655969"/>
    <w:rsid w:val="00655A1B"/>
    <w:rsid w:val="0065754D"/>
    <w:rsid w:val="00657835"/>
    <w:rsid w:val="00661A1B"/>
    <w:rsid w:val="00662E6C"/>
    <w:rsid w:val="00664F23"/>
    <w:rsid w:val="006652D6"/>
    <w:rsid w:val="0066587C"/>
    <w:rsid w:val="00666A88"/>
    <w:rsid w:val="00672E61"/>
    <w:rsid w:val="00674337"/>
    <w:rsid w:val="006765AB"/>
    <w:rsid w:val="00680A9A"/>
    <w:rsid w:val="00680C92"/>
    <w:rsid w:val="00682CE5"/>
    <w:rsid w:val="0068321C"/>
    <w:rsid w:val="006860C6"/>
    <w:rsid w:val="006900E9"/>
    <w:rsid w:val="006913B3"/>
    <w:rsid w:val="0069189D"/>
    <w:rsid w:val="006919C4"/>
    <w:rsid w:val="00692205"/>
    <w:rsid w:val="00692BAC"/>
    <w:rsid w:val="00695480"/>
    <w:rsid w:val="00696806"/>
    <w:rsid w:val="0069787F"/>
    <w:rsid w:val="006A00C1"/>
    <w:rsid w:val="006A030B"/>
    <w:rsid w:val="006A07BF"/>
    <w:rsid w:val="006A1C27"/>
    <w:rsid w:val="006A42C1"/>
    <w:rsid w:val="006A4D7D"/>
    <w:rsid w:val="006A5E24"/>
    <w:rsid w:val="006A67C3"/>
    <w:rsid w:val="006A6BCF"/>
    <w:rsid w:val="006A769F"/>
    <w:rsid w:val="006A79F1"/>
    <w:rsid w:val="006B168A"/>
    <w:rsid w:val="006B1AE5"/>
    <w:rsid w:val="006B282E"/>
    <w:rsid w:val="006B3A89"/>
    <w:rsid w:val="006B76F5"/>
    <w:rsid w:val="006C1C17"/>
    <w:rsid w:val="006C33E9"/>
    <w:rsid w:val="006C36B9"/>
    <w:rsid w:val="006C3A55"/>
    <w:rsid w:val="006D0150"/>
    <w:rsid w:val="006D17CC"/>
    <w:rsid w:val="006D3282"/>
    <w:rsid w:val="006D5D71"/>
    <w:rsid w:val="006D69E3"/>
    <w:rsid w:val="006D6C0B"/>
    <w:rsid w:val="006D7353"/>
    <w:rsid w:val="006D75A9"/>
    <w:rsid w:val="006D7679"/>
    <w:rsid w:val="006E2780"/>
    <w:rsid w:val="006E5EBF"/>
    <w:rsid w:val="006E771E"/>
    <w:rsid w:val="006E79BB"/>
    <w:rsid w:val="006F081B"/>
    <w:rsid w:val="006F1DF0"/>
    <w:rsid w:val="006F3562"/>
    <w:rsid w:val="006F42B4"/>
    <w:rsid w:val="006F438F"/>
    <w:rsid w:val="006F56A5"/>
    <w:rsid w:val="006F5D55"/>
    <w:rsid w:val="006F6781"/>
    <w:rsid w:val="006F74CE"/>
    <w:rsid w:val="006F7949"/>
    <w:rsid w:val="00701C5A"/>
    <w:rsid w:val="007020FA"/>
    <w:rsid w:val="007030DA"/>
    <w:rsid w:val="00710B1B"/>
    <w:rsid w:val="0071404D"/>
    <w:rsid w:val="00714639"/>
    <w:rsid w:val="00717364"/>
    <w:rsid w:val="00723C72"/>
    <w:rsid w:val="00723DF1"/>
    <w:rsid w:val="00724463"/>
    <w:rsid w:val="00726B93"/>
    <w:rsid w:val="007305AD"/>
    <w:rsid w:val="0073210A"/>
    <w:rsid w:val="00734930"/>
    <w:rsid w:val="00735966"/>
    <w:rsid w:val="00736FDD"/>
    <w:rsid w:val="00737523"/>
    <w:rsid w:val="0074110D"/>
    <w:rsid w:val="0074194C"/>
    <w:rsid w:val="00741C8B"/>
    <w:rsid w:val="00742599"/>
    <w:rsid w:val="00742F86"/>
    <w:rsid w:val="007451D6"/>
    <w:rsid w:val="00745B08"/>
    <w:rsid w:val="007474AA"/>
    <w:rsid w:val="00750870"/>
    <w:rsid w:val="007519C0"/>
    <w:rsid w:val="0075255C"/>
    <w:rsid w:val="007549DB"/>
    <w:rsid w:val="0075568B"/>
    <w:rsid w:val="007569A5"/>
    <w:rsid w:val="00757674"/>
    <w:rsid w:val="00761659"/>
    <w:rsid w:val="00762B38"/>
    <w:rsid w:val="00762BF4"/>
    <w:rsid w:val="007644D6"/>
    <w:rsid w:val="0076538E"/>
    <w:rsid w:val="00766DFA"/>
    <w:rsid w:val="00766FF1"/>
    <w:rsid w:val="0077073D"/>
    <w:rsid w:val="00772ECE"/>
    <w:rsid w:val="0077358A"/>
    <w:rsid w:val="00775A2A"/>
    <w:rsid w:val="00777630"/>
    <w:rsid w:val="00782D3E"/>
    <w:rsid w:val="00783FE5"/>
    <w:rsid w:val="0078493B"/>
    <w:rsid w:val="00784BD4"/>
    <w:rsid w:val="0078528C"/>
    <w:rsid w:val="00786437"/>
    <w:rsid w:val="00790002"/>
    <w:rsid w:val="007905B3"/>
    <w:rsid w:val="007907DC"/>
    <w:rsid w:val="00791DF8"/>
    <w:rsid w:val="00792639"/>
    <w:rsid w:val="0079356E"/>
    <w:rsid w:val="00793728"/>
    <w:rsid w:val="007976B6"/>
    <w:rsid w:val="007A053E"/>
    <w:rsid w:val="007A0A3D"/>
    <w:rsid w:val="007A1870"/>
    <w:rsid w:val="007A202F"/>
    <w:rsid w:val="007A4BCC"/>
    <w:rsid w:val="007A6F36"/>
    <w:rsid w:val="007B048F"/>
    <w:rsid w:val="007B05F7"/>
    <w:rsid w:val="007B0A1F"/>
    <w:rsid w:val="007B12F9"/>
    <w:rsid w:val="007B1479"/>
    <w:rsid w:val="007B2463"/>
    <w:rsid w:val="007B33BA"/>
    <w:rsid w:val="007B434F"/>
    <w:rsid w:val="007B47E6"/>
    <w:rsid w:val="007B4BD0"/>
    <w:rsid w:val="007B63B2"/>
    <w:rsid w:val="007C06CD"/>
    <w:rsid w:val="007C104C"/>
    <w:rsid w:val="007C22F0"/>
    <w:rsid w:val="007C3517"/>
    <w:rsid w:val="007C3F64"/>
    <w:rsid w:val="007C414C"/>
    <w:rsid w:val="007C4153"/>
    <w:rsid w:val="007C4394"/>
    <w:rsid w:val="007D1630"/>
    <w:rsid w:val="007D1C09"/>
    <w:rsid w:val="007D1DB0"/>
    <w:rsid w:val="007D1E80"/>
    <w:rsid w:val="007D1F54"/>
    <w:rsid w:val="007D4215"/>
    <w:rsid w:val="007D7F5E"/>
    <w:rsid w:val="007E2142"/>
    <w:rsid w:val="007E21D0"/>
    <w:rsid w:val="007E29BC"/>
    <w:rsid w:val="007E368A"/>
    <w:rsid w:val="007E5D2B"/>
    <w:rsid w:val="007E5DAE"/>
    <w:rsid w:val="007E5FE6"/>
    <w:rsid w:val="007E755C"/>
    <w:rsid w:val="007E75E2"/>
    <w:rsid w:val="007E7E50"/>
    <w:rsid w:val="007F0F2A"/>
    <w:rsid w:val="007F16F1"/>
    <w:rsid w:val="007F1ABC"/>
    <w:rsid w:val="007F29F5"/>
    <w:rsid w:val="007F2BCD"/>
    <w:rsid w:val="007F3AF8"/>
    <w:rsid w:val="007F3E3C"/>
    <w:rsid w:val="007F4523"/>
    <w:rsid w:val="007F66A8"/>
    <w:rsid w:val="00800539"/>
    <w:rsid w:val="008027AE"/>
    <w:rsid w:val="00802B40"/>
    <w:rsid w:val="00804D69"/>
    <w:rsid w:val="008109A0"/>
    <w:rsid w:val="00810DCE"/>
    <w:rsid w:val="0081120E"/>
    <w:rsid w:val="00812163"/>
    <w:rsid w:val="00813174"/>
    <w:rsid w:val="00813B1D"/>
    <w:rsid w:val="00815BD0"/>
    <w:rsid w:val="00817B94"/>
    <w:rsid w:val="0082370B"/>
    <w:rsid w:val="0082395B"/>
    <w:rsid w:val="00823AFD"/>
    <w:rsid w:val="00823DBE"/>
    <w:rsid w:val="008251F9"/>
    <w:rsid w:val="00825385"/>
    <w:rsid w:val="00826EE0"/>
    <w:rsid w:val="00826EF4"/>
    <w:rsid w:val="00831572"/>
    <w:rsid w:val="00831D39"/>
    <w:rsid w:val="0083314F"/>
    <w:rsid w:val="00834097"/>
    <w:rsid w:val="00834DC6"/>
    <w:rsid w:val="00835699"/>
    <w:rsid w:val="0083596D"/>
    <w:rsid w:val="008360EF"/>
    <w:rsid w:val="008362C3"/>
    <w:rsid w:val="00836C02"/>
    <w:rsid w:val="00836C09"/>
    <w:rsid w:val="008370C3"/>
    <w:rsid w:val="00840F18"/>
    <w:rsid w:val="00841DDD"/>
    <w:rsid w:val="00842324"/>
    <w:rsid w:val="008430E8"/>
    <w:rsid w:val="00843B1C"/>
    <w:rsid w:val="00844676"/>
    <w:rsid w:val="00846D33"/>
    <w:rsid w:val="00847577"/>
    <w:rsid w:val="00850EE1"/>
    <w:rsid w:val="00851540"/>
    <w:rsid w:val="008519D5"/>
    <w:rsid w:val="0085212F"/>
    <w:rsid w:val="0085224A"/>
    <w:rsid w:val="0085347B"/>
    <w:rsid w:val="00853D93"/>
    <w:rsid w:val="00854C5E"/>
    <w:rsid w:val="00856FD6"/>
    <w:rsid w:val="00857767"/>
    <w:rsid w:val="00860581"/>
    <w:rsid w:val="00861A3E"/>
    <w:rsid w:val="00861EDB"/>
    <w:rsid w:val="008629B7"/>
    <w:rsid w:val="0086357B"/>
    <w:rsid w:val="00865C03"/>
    <w:rsid w:val="008669F0"/>
    <w:rsid w:val="00866F9F"/>
    <w:rsid w:val="00867C1D"/>
    <w:rsid w:val="00870073"/>
    <w:rsid w:val="0087064A"/>
    <w:rsid w:val="0087262E"/>
    <w:rsid w:val="00873AB1"/>
    <w:rsid w:val="00876071"/>
    <w:rsid w:val="00880108"/>
    <w:rsid w:val="00881413"/>
    <w:rsid w:val="00881A78"/>
    <w:rsid w:val="00882451"/>
    <w:rsid w:val="008841EB"/>
    <w:rsid w:val="0088420B"/>
    <w:rsid w:val="00884F94"/>
    <w:rsid w:val="00885A13"/>
    <w:rsid w:val="00887825"/>
    <w:rsid w:val="00887C6A"/>
    <w:rsid w:val="00892412"/>
    <w:rsid w:val="00892697"/>
    <w:rsid w:val="00894688"/>
    <w:rsid w:val="00894843"/>
    <w:rsid w:val="00894D30"/>
    <w:rsid w:val="008960E0"/>
    <w:rsid w:val="008A1367"/>
    <w:rsid w:val="008A16C4"/>
    <w:rsid w:val="008A19A8"/>
    <w:rsid w:val="008A36CD"/>
    <w:rsid w:val="008A6475"/>
    <w:rsid w:val="008A64D4"/>
    <w:rsid w:val="008A70DB"/>
    <w:rsid w:val="008A742E"/>
    <w:rsid w:val="008A7759"/>
    <w:rsid w:val="008B043B"/>
    <w:rsid w:val="008B139D"/>
    <w:rsid w:val="008B1519"/>
    <w:rsid w:val="008B232D"/>
    <w:rsid w:val="008B367E"/>
    <w:rsid w:val="008B3E52"/>
    <w:rsid w:val="008B5200"/>
    <w:rsid w:val="008B5341"/>
    <w:rsid w:val="008B5344"/>
    <w:rsid w:val="008B6652"/>
    <w:rsid w:val="008B70EF"/>
    <w:rsid w:val="008B7361"/>
    <w:rsid w:val="008B7547"/>
    <w:rsid w:val="008B7FA7"/>
    <w:rsid w:val="008C360B"/>
    <w:rsid w:val="008C444A"/>
    <w:rsid w:val="008C6767"/>
    <w:rsid w:val="008C6AE7"/>
    <w:rsid w:val="008C7DE5"/>
    <w:rsid w:val="008D0940"/>
    <w:rsid w:val="008D0FB4"/>
    <w:rsid w:val="008D18AC"/>
    <w:rsid w:val="008D32E9"/>
    <w:rsid w:val="008D511A"/>
    <w:rsid w:val="008D5376"/>
    <w:rsid w:val="008D6045"/>
    <w:rsid w:val="008D648C"/>
    <w:rsid w:val="008D6E8F"/>
    <w:rsid w:val="008D740A"/>
    <w:rsid w:val="008D7455"/>
    <w:rsid w:val="008E030A"/>
    <w:rsid w:val="008E264D"/>
    <w:rsid w:val="008E3988"/>
    <w:rsid w:val="008E4B03"/>
    <w:rsid w:val="008E65EC"/>
    <w:rsid w:val="008E7DED"/>
    <w:rsid w:val="008F0D32"/>
    <w:rsid w:val="008F2DB4"/>
    <w:rsid w:val="008F4C3D"/>
    <w:rsid w:val="008F5418"/>
    <w:rsid w:val="009022FC"/>
    <w:rsid w:val="00902DD0"/>
    <w:rsid w:val="00902FA6"/>
    <w:rsid w:val="009043D1"/>
    <w:rsid w:val="009066C6"/>
    <w:rsid w:val="009105A5"/>
    <w:rsid w:val="00910C57"/>
    <w:rsid w:val="00911EB3"/>
    <w:rsid w:val="00911F34"/>
    <w:rsid w:val="009125D3"/>
    <w:rsid w:val="00912E4E"/>
    <w:rsid w:val="0091390C"/>
    <w:rsid w:val="00913917"/>
    <w:rsid w:val="00914C66"/>
    <w:rsid w:val="009154F9"/>
    <w:rsid w:val="00916620"/>
    <w:rsid w:val="00916FC3"/>
    <w:rsid w:val="00917180"/>
    <w:rsid w:val="00917855"/>
    <w:rsid w:val="00917BC5"/>
    <w:rsid w:val="00922151"/>
    <w:rsid w:val="0092337A"/>
    <w:rsid w:val="00924211"/>
    <w:rsid w:val="00924C59"/>
    <w:rsid w:val="0092688E"/>
    <w:rsid w:val="00926B90"/>
    <w:rsid w:val="00933342"/>
    <w:rsid w:val="00933B2A"/>
    <w:rsid w:val="0093523F"/>
    <w:rsid w:val="00935493"/>
    <w:rsid w:val="0093743D"/>
    <w:rsid w:val="00944746"/>
    <w:rsid w:val="009461FD"/>
    <w:rsid w:val="0094663E"/>
    <w:rsid w:val="00946BEF"/>
    <w:rsid w:val="00946F27"/>
    <w:rsid w:val="0095174B"/>
    <w:rsid w:val="009518DE"/>
    <w:rsid w:val="0095211C"/>
    <w:rsid w:val="0095361C"/>
    <w:rsid w:val="0095699D"/>
    <w:rsid w:val="00956B81"/>
    <w:rsid w:val="00960DA2"/>
    <w:rsid w:val="009613A6"/>
    <w:rsid w:val="00966858"/>
    <w:rsid w:val="00966F6D"/>
    <w:rsid w:val="00971A56"/>
    <w:rsid w:val="00972B5E"/>
    <w:rsid w:val="00972E80"/>
    <w:rsid w:val="00973609"/>
    <w:rsid w:val="00981A04"/>
    <w:rsid w:val="009830A1"/>
    <w:rsid w:val="00986FA2"/>
    <w:rsid w:val="0098761B"/>
    <w:rsid w:val="00987B88"/>
    <w:rsid w:val="00991135"/>
    <w:rsid w:val="00993583"/>
    <w:rsid w:val="009935D1"/>
    <w:rsid w:val="009940B0"/>
    <w:rsid w:val="009952B9"/>
    <w:rsid w:val="00995480"/>
    <w:rsid w:val="0099647F"/>
    <w:rsid w:val="0099761E"/>
    <w:rsid w:val="009A1057"/>
    <w:rsid w:val="009A13A9"/>
    <w:rsid w:val="009A13C3"/>
    <w:rsid w:val="009A22CC"/>
    <w:rsid w:val="009A3E85"/>
    <w:rsid w:val="009A4401"/>
    <w:rsid w:val="009A4F6F"/>
    <w:rsid w:val="009A60D0"/>
    <w:rsid w:val="009A6BE2"/>
    <w:rsid w:val="009A774C"/>
    <w:rsid w:val="009A7902"/>
    <w:rsid w:val="009B34E4"/>
    <w:rsid w:val="009B4545"/>
    <w:rsid w:val="009B4DB0"/>
    <w:rsid w:val="009C1BC6"/>
    <w:rsid w:val="009C1E1A"/>
    <w:rsid w:val="009C2347"/>
    <w:rsid w:val="009C3909"/>
    <w:rsid w:val="009C3C23"/>
    <w:rsid w:val="009C494D"/>
    <w:rsid w:val="009C6425"/>
    <w:rsid w:val="009D1018"/>
    <w:rsid w:val="009D1B14"/>
    <w:rsid w:val="009D3551"/>
    <w:rsid w:val="009D3FB7"/>
    <w:rsid w:val="009D5876"/>
    <w:rsid w:val="009D633A"/>
    <w:rsid w:val="009D6C99"/>
    <w:rsid w:val="009D7437"/>
    <w:rsid w:val="009D76D7"/>
    <w:rsid w:val="009E06C7"/>
    <w:rsid w:val="009E29A6"/>
    <w:rsid w:val="009E38A6"/>
    <w:rsid w:val="009E44DF"/>
    <w:rsid w:val="009E5A70"/>
    <w:rsid w:val="009E5C6E"/>
    <w:rsid w:val="009E7798"/>
    <w:rsid w:val="009F0B5B"/>
    <w:rsid w:val="009F17D6"/>
    <w:rsid w:val="009F216C"/>
    <w:rsid w:val="009F26F9"/>
    <w:rsid w:val="009F2F8A"/>
    <w:rsid w:val="009F4A58"/>
    <w:rsid w:val="009F520D"/>
    <w:rsid w:val="009F6347"/>
    <w:rsid w:val="009F6449"/>
    <w:rsid w:val="009F6989"/>
    <w:rsid w:val="009F6D34"/>
    <w:rsid w:val="00A00020"/>
    <w:rsid w:val="00A00C64"/>
    <w:rsid w:val="00A00DC8"/>
    <w:rsid w:val="00A01E9E"/>
    <w:rsid w:val="00A03D6F"/>
    <w:rsid w:val="00A04FF7"/>
    <w:rsid w:val="00A05522"/>
    <w:rsid w:val="00A07A12"/>
    <w:rsid w:val="00A07C8B"/>
    <w:rsid w:val="00A11DC5"/>
    <w:rsid w:val="00A13796"/>
    <w:rsid w:val="00A15B66"/>
    <w:rsid w:val="00A15BB4"/>
    <w:rsid w:val="00A16C20"/>
    <w:rsid w:val="00A16C8A"/>
    <w:rsid w:val="00A17370"/>
    <w:rsid w:val="00A250D2"/>
    <w:rsid w:val="00A277EB"/>
    <w:rsid w:val="00A27CAC"/>
    <w:rsid w:val="00A31754"/>
    <w:rsid w:val="00A31E43"/>
    <w:rsid w:val="00A348EF"/>
    <w:rsid w:val="00A3615A"/>
    <w:rsid w:val="00A36AC7"/>
    <w:rsid w:val="00A407BF"/>
    <w:rsid w:val="00A418D6"/>
    <w:rsid w:val="00A4351B"/>
    <w:rsid w:val="00A43C2C"/>
    <w:rsid w:val="00A458C1"/>
    <w:rsid w:val="00A471C4"/>
    <w:rsid w:val="00A507A1"/>
    <w:rsid w:val="00A520B2"/>
    <w:rsid w:val="00A52F19"/>
    <w:rsid w:val="00A53C2D"/>
    <w:rsid w:val="00A53C46"/>
    <w:rsid w:val="00A54BD7"/>
    <w:rsid w:val="00A55A08"/>
    <w:rsid w:val="00A55D37"/>
    <w:rsid w:val="00A5694C"/>
    <w:rsid w:val="00A56FBA"/>
    <w:rsid w:val="00A603FB"/>
    <w:rsid w:val="00A61054"/>
    <w:rsid w:val="00A610B3"/>
    <w:rsid w:val="00A61189"/>
    <w:rsid w:val="00A6178F"/>
    <w:rsid w:val="00A61A53"/>
    <w:rsid w:val="00A6403A"/>
    <w:rsid w:val="00A66749"/>
    <w:rsid w:val="00A66E5D"/>
    <w:rsid w:val="00A67C68"/>
    <w:rsid w:val="00A70090"/>
    <w:rsid w:val="00A720CC"/>
    <w:rsid w:val="00A7337F"/>
    <w:rsid w:val="00A758CA"/>
    <w:rsid w:val="00A76AD7"/>
    <w:rsid w:val="00A76E43"/>
    <w:rsid w:val="00A76ED9"/>
    <w:rsid w:val="00A812C6"/>
    <w:rsid w:val="00A82ECE"/>
    <w:rsid w:val="00A849C0"/>
    <w:rsid w:val="00A857EF"/>
    <w:rsid w:val="00A86298"/>
    <w:rsid w:val="00A8704B"/>
    <w:rsid w:val="00A901BD"/>
    <w:rsid w:val="00A901FD"/>
    <w:rsid w:val="00A91183"/>
    <w:rsid w:val="00A927D8"/>
    <w:rsid w:val="00A92DCF"/>
    <w:rsid w:val="00A9363C"/>
    <w:rsid w:val="00A94754"/>
    <w:rsid w:val="00A94C37"/>
    <w:rsid w:val="00A94F67"/>
    <w:rsid w:val="00AA0607"/>
    <w:rsid w:val="00AA073C"/>
    <w:rsid w:val="00AA0AD1"/>
    <w:rsid w:val="00AA16D8"/>
    <w:rsid w:val="00AA1FAD"/>
    <w:rsid w:val="00AA2D56"/>
    <w:rsid w:val="00AA3A3D"/>
    <w:rsid w:val="00AA3C83"/>
    <w:rsid w:val="00AA493C"/>
    <w:rsid w:val="00AA4B05"/>
    <w:rsid w:val="00AA51F8"/>
    <w:rsid w:val="00AA737D"/>
    <w:rsid w:val="00AB12EA"/>
    <w:rsid w:val="00AB1CBB"/>
    <w:rsid w:val="00AB55D8"/>
    <w:rsid w:val="00AB58CE"/>
    <w:rsid w:val="00AB6101"/>
    <w:rsid w:val="00AB6EB5"/>
    <w:rsid w:val="00AB7D2C"/>
    <w:rsid w:val="00AC0628"/>
    <w:rsid w:val="00AC0A40"/>
    <w:rsid w:val="00AC169D"/>
    <w:rsid w:val="00AC3778"/>
    <w:rsid w:val="00AC4972"/>
    <w:rsid w:val="00AC6B25"/>
    <w:rsid w:val="00AC6E92"/>
    <w:rsid w:val="00AD04F4"/>
    <w:rsid w:val="00AD252C"/>
    <w:rsid w:val="00AD3FD5"/>
    <w:rsid w:val="00AD577C"/>
    <w:rsid w:val="00AE1159"/>
    <w:rsid w:val="00AE1CDC"/>
    <w:rsid w:val="00AE1F1F"/>
    <w:rsid w:val="00AE501C"/>
    <w:rsid w:val="00AE616A"/>
    <w:rsid w:val="00AE78CE"/>
    <w:rsid w:val="00AF0848"/>
    <w:rsid w:val="00AF128F"/>
    <w:rsid w:val="00AF2732"/>
    <w:rsid w:val="00AF2749"/>
    <w:rsid w:val="00AF2991"/>
    <w:rsid w:val="00AF2CAF"/>
    <w:rsid w:val="00AF2E03"/>
    <w:rsid w:val="00AF354B"/>
    <w:rsid w:val="00AF3C33"/>
    <w:rsid w:val="00AF3F3B"/>
    <w:rsid w:val="00AF43CD"/>
    <w:rsid w:val="00AF4959"/>
    <w:rsid w:val="00AF4BE1"/>
    <w:rsid w:val="00AF5101"/>
    <w:rsid w:val="00AF57B4"/>
    <w:rsid w:val="00AF5E50"/>
    <w:rsid w:val="00AF75B4"/>
    <w:rsid w:val="00B00990"/>
    <w:rsid w:val="00B03DAA"/>
    <w:rsid w:val="00B05382"/>
    <w:rsid w:val="00B054C8"/>
    <w:rsid w:val="00B056A9"/>
    <w:rsid w:val="00B075E4"/>
    <w:rsid w:val="00B12073"/>
    <w:rsid w:val="00B127E5"/>
    <w:rsid w:val="00B12984"/>
    <w:rsid w:val="00B12D4E"/>
    <w:rsid w:val="00B142B3"/>
    <w:rsid w:val="00B15171"/>
    <w:rsid w:val="00B15EC1"/>
    <w:rsid w:val="00B17380"/>
    <w:rsid w:val="00B17754"/>
    <w:rsid w:val="00B23591"/>
    <w:rsid w:val="00B23E34"/>
    <w:rsid w:val="00B240BB"/>
    <w:rsid w:val="00B24DFD"/>
    <w:rsid w:val="00B279E0"/>
    <w:rsid w:val="00B31DB5"/>
    <w:rsid w:val="00B31DF7"/>
    <w:rsid w:val="00B31ED1"/>
    <w:rsid w:val="00B31F2C"/>
    <w:rsid w:val="00B3365D"/>
    <w:rsid w:val="00B349EA"/>
    <w:rsid w:val="00B34CC5"/>
    <w:rsid w:val="00B35609"/>
    <w:rsid w:val="00B4074A"/>
    <w:rsid w:val="00B416E9"/>
    <w:rsid w:val="00B41D19"/>
    <w:rsid w:val="00B424FA"/>
    <w:rsid w:val="00B4456F"/>
    <w:rsid w:val="00B44770"/>
    <w:rsid w:val="00B505FA"/>
    <w:rsid w:val="00B50A12"/>
    <w:rsid w:val="00B51122"/>
    <w:rsid w:val="00B51BFD"/>
    <w:rsid w:val="00B52888"/>
    <w:rsid w:val="00B53165"/>
    <w:rsid w:val="00B53886"/>
    <w:rsid w:val="00B61201"/>
    <w:rsid w:val="00B61B1A"/>
    <w:rsid w:val="00B61C61"/>
    <w:rsid w:val="00B6233E"/>
    <w:rsid w:val="00B62B33"/>
    <w:rsid w:val="00B62B44"/>
    <w:rsid w:val="00B62D94"/>
    <w:rsid w:val="00B63511"/>
    <w:rsid w:val="00B63F58"/>
    <w:rsid w:val="00B63FC0"/>
    <w:rsid w:val="00B6455A"/>
    <w:rsid w:val="00B6500F"/>
    <w:rsid w:val="00B67A3C"/>
    <w:rsid w:val="00B70088"/>
    <w:rsid w:val="00B73C85"/>
    <w:rsid w:val="00B74473"/>
    <w:rsid w:val="00B75A46"/>
    <w:rsid w:val="00B76127"/>
    <w:rsid w:val="00B76335"/>
    <w:rsid w:val="00B77C78"/>
    <w:rsid w:val="00B802C9"/>
    <w:rsid w:val="00B80A9D"/>
    <w:rsid w:val="00B830EE"/>
    <w:rsid w:val="00B83346"/>
    <w:rsid w:val="00B84646"/>
    <w:rsid w:val="00B84967"/>
    <w:rsid w:val="00B91720"/>
    <w:rsid w:val="00B92DEB"/>
    <w:rsid w:val="00B93070"/>
    <w:rsid w:val="00B93EEF"/>
    <w:rsid w:val="00B94172"/>
    <w:rsid w:val="00B96C8E"/>
    <w:rsid w:val="00B97AF5"/>
    <w:rsid w:val="00BA1332"/>
    <w:rsid w:val="00BA17EC"/>
    <w:rsid w:val="00BA1B5A"/>
    <w:rsid w:val="00BA32F1"/>
    <w:rsid w:val="00BA3786"/>
    <w:rsid w:val="00BA3C34"/>
    <w:rsid w:val="00BA47A4"/>
    <w:rsid w:val="00BA48BF"/>
    <w:rsid w:val="00BA50F7"/>
    <w:rsid w:val="00BA5305"/>
    <w:rsid w:val="00BA6AF4"/>
    <w:rsid w:val="00BA740E"/>
    <w:rsid w:val="00BA74F3"/>
    <w:rsid w:val="00BA7747"/>
    <w:rsid w:val="00BA7FCA"/>
    <w:rsid w:val="00BB07BC"/>
    <w:rsid w:val="00BB140F"/>
    <w:rsid w:val="00BB463B"/>
    <w:rsid w:val="00BB67F1"/>
    <w:rsid w:val="00BC2BF4"/>
    <w:rsid w:val="00BC2FB3"/>
    <w:rsid w:val="00BC31E8"/>
    <w:rsid w:val="00BC4633"/>
    <w:rsid w:val="00BC533A"/>
    <w:rsid w:val="00BC55C0"/>
    <w:rsid w:val="00BC572A"/>
    <w:rsid w:val="00BC58CE"/>
    <w:rsid w:val="00BD290F"/>
    <w:rsid w:val="00BD425E"/>
    <w:rsid w:val="00BD44E9"/>
    <w:rsid w:val="00BD5B8E"/>
    <w:rsid w:val="00BD6578"/>
    <w:rsid w:val="00BD7ABA"/>
    <w:rsid w:val="00BD7BFF"/>
    <w:rsid w:val="00BE0169"/>
    <w:rsid w:val="00BE0AB4"/>
    <w:rsid w:val="00BE13CB"/>
    <w:rsid w:val="00BE1C99"/>
    <w:rsid w:val="00BE1CED"/>
    <w:rsid w:val="00BE5682"/>
    <w:rsid w:val="00BE6BDD"/>
    <w:rsid w:val="00BE70F8"/>
    <w:rsid w:val="00BE75EB"/>
    <w:rsid w:val="00BF19A3"/>
    <w:rsid w:val="00BF2752"/>
    <w:rsid w:val="00BF3DF2"/>
    <w:rsid w:val="00BF4845"/>
    <w:rsid w:val="00BF4A6E"/>
    <w:rsid w:val="00BF560D"/>
    <w:rsid w:val="00BF6C8D"/>
    <w:rsid w:val="00BF7EF1"/>
    <w:rsid w:val="00C0277D"/>
    <w:rsid w:val="00C04447"/>
    <w:rsid w:val="00C06B04"/>
    <w:rsid w:val="00C06D77"/>
    <w:rsid w:val="00C07491"/>
    <w:rsid w:val="00C07AED"/>
    <w:rsid w:val="00C110B6"/>
    <w:rsid w:val="00C1112F"/>
    <w:rsid w:val="00C11707"/>
    <w:rsid w:val="00C12671"/>
    <w:rsid w:val="00C13706"/>
    <w:rsid w:val="00C2034E"/>
    <w:rsid w:val="00C21588"/>
    <w:rsid w:val="00C23268"/>
    <w:rsid w:val="00C2414D"/>
    <w:rsid w:val="00C26691"/>
    <w:rsid w:val="00C26DC3"/>
    <w:rsid w:val="00C26DD4"/>
    <w:rsid w:val="00C275C0"/>
    <w:rsid w:val="00C31AAE"/>
    <w:rsid w:val="00C3206C"/>
    <w:rsid w:val="00C32F11"/>
    <w:rsid w:val="00C34422"/>
    <w:rsid w:val="00C36700"/>
    <w:rsid w:val="00C406BA"/>
    <w:rsid w:val="00C40899"/>
    <w:rsid w:val="00C40FCE"/>
    <w:rsid w:val="00C421D9"/>
    <w:rsid w:val="00C426DF"/>
    <w:rsid w:val="00C431E9"/>
    <w:rsid w:val="00C433C9"/>
    <w:rsid w:val="00C43983"/>
    <w:rsid w:val="00C43B4D"/>
    <w:rsid w:val="00C44CD8"/>
    <w:rsid w:val="00C44EB1"/>
    <w:rsid w:val="00C479C4"/>
    <w:rsid w:val="00C51EE3"/>
    <w:rsid w:val="00C52717"/>
    <w:rsid w:val="00C53D8E"/>
    <w:rsid w:val="00C5482E"/>
    <w:rsid w:val="00C54D28"/>
    <w:rsid w:val="00C550BC"/>
    <w:rsid w:val="00C5520A"/>
    <w:rsid w:val="00C579AE"/>
    <w:rsid w:val="00C6029F"/>
    <w:rsid w:val="00C608F1"/>
    <w:rsid w:val="00C61A02"/>
    <w:rsid w:val="00C620AB"/>
    <w:rsid w:val="00C62EF6"/>
    <w:rsid w:val="00C6359D"/>
    <w:rsid w:val="00C63C97"/>
    <w:rsid w:val="00C65394"/>
    <w:rsid w:val="00C65C0E"/>
    <w:rsid w:val="00C65FA0"/>
    <w:rsid w:val="00C70E8C"/>
    <w:rsid w:val="00C717C0"/>
    <w:rsid w:val="00C72A4F"/>
    <w:rsid w:val="00C73A73"/>
    <w:rsid w:val="00C75048"/>
    <w:rsid w:val="00C75438"/>
    <w:rsid w:val="00C76C47"/>
    <w:rsid w:val="00C7750A"/>
    <w:rsid w:val="00C77581"/>
    <w:rsid w:val="00C80058"/>
    <w:rsid w:val="00C813E3"/>
    <w:rsid w:val="00C8487F"/>
    <w:rsid w:val="00C8519B"/>
    <w:rsid w:val="00C85C00"/>
    <w:rsid w:val="00C85F42"/>
    <w:rsid w:val="00C87DB9"/>
    <w:rsid w:val="00C9051A"/>
    <w:rsid w:val="00C9120C"/>
    <w:rsid w:val="00C917CD"/>
    <w:rsid w:val="00C92BAD"/>
    <w:rsid w:val="00C939D5"/>
    <w:rsid w:val="00C93AA8"/>
    <w:rsid w:val="00C947BD"/>
    <w:rsid w:val="00C951BC"/>
    <w:rsid w:val="00C95D08"/>
    <w:rsid w:val="00C95EFA"/>
    <w:rsid w:val="00C9674C"/>
    <w:rsid w:val="00CA09D4"/>
    <w:rsid w:val="00CA2F84"/>
    <w:rsid w:val="00CA357C"/>
    <w:rsid w:val="00CA3CDC"/>
    <w:rsid w:val="00CA3F49"/>
    <w:rsid w:val="00CA4940"/>
    <w:rsid w:val="00CA7202"/>
    <w:rsid w:val="00CB04D8"/>
    <w:rsid w:val="00CB120E"/>
    <w:rsid w:val="00CB2124"/>
    <w:rsid w:val="00CB2B95"/>
    <w:rsid w:val="00CB5C25"/>
    <w:rsid w:val="00CB6396"/>
    <w:rsid w:val="00CB69DD"/>
    <w:rsid w:val="00CB7506"/>
    <w:rsid w:val="00CB7C88"/>
    <w:rsid w:val="00CC0C25"/>
    <w:rsid w:val="00CC2911"/>
    <w:rsid w:val="00CC2E5F"/>
    <w:rsid w:val="00CC373D"/>
    <w:rsid w:val="00CC3FD3"/>
    <w:rsid w:val="00CC4341"/>
    <w:rsid w:val="00CC498D"/>
    <w:rsid w:val="00CC4E8D"/>
    <w:rsid w:val="00CC530B"/>
    <w:rsid w:val="00CC6DA6"/>
    <w:rsid w:val="00CD0A49"/>
    <w:rsid w:val="00CD1A06"/>
    <w:rsid w:val="00CD2DD7"/>
    <w:rsid w:val="00CD42DC"/>
    <w:rsid w:val="00CD555F"/>
    <w:rsid w:val="00CD70B0"/>
    <w:rsid w:val="00CE08DD"/>
    <w:rsid w:val="00CE15E9"/>
    <w:rsid w:val="00CE178D"/>
    <w:rsid w:val="00CE3D70"/>
    <w:rsid w:val="00CE49A9"/>
    <w:rsid w:val="00CE515D"/>
    <w:rsid w:val="00CE6B7A"/>
    <w:rsid w:val="00CE6DCE"/>
    <w:rsid w:val="00CE7A2C"/>
    <w:rsid w:val="00CF1259"/>
    <w:rsid w:val="00CF340C"/>
    <w:rsid w:val="00CF35A4"/>
    <w:rsid w:val="00CF42FD"/>
    <w:rsid w:val="00CF5273"/>
    <w:rsid w:val="00CF5503"/>
    <w:rsid w:val="00CF584C"/>
    <w:rsid w:val="00CF6271"/>
    <w:rsid w:val="00CF6962"/>
    <w:rsid w:val="00CF7832"/>
    <w:rsid w:val="00D0200E"/>
    <w:rsid w:val="00D02CD3"/>
    <w:rsid w:val="00D068AF"/>
    <w:rsid w:val="00D06F04"/>
    <w:rsid w:val="00D070C3"/>
    <w:rsid w:val="00D070E3"/>
    <w:rsid w:val="00D1290A"/>
    <w:rsid w:val="00D137F5"/>
    <w:rsid w:val="00D14351"/>
    <w:rsid w:val="00D14362"/>
    <w:rsid w:val="00D26C19"/>
    <w:rsid w:val="00D302C3"/>
    <w:rsid w:val="00D30E4B"/>
    <w:rsid w:val="00D31C81"/>
    <w:rsid w:val="00D33055"/>
    <w:rsid w:val="00D3443F"/>
    <w:rsid w:val="00D34EAD"/>
    <w:rsid w:val="00D34F4B"/>
    <w:rsid w:val="00D35F18"/>
    <w:rsid w:val="00D3666A"/>
    <w:rsid w:val="00D366C5"/>
    <w:rsid w:val="00D36856"/>
    <w:rsid w:val="00D36923"/>
    <w:rsid w:val="00D37F15"/>
    <w:rsid w:val="00D40217"/>
    <w:rsid w:val="00D41230"/>
    <w:rsid w:val="00D421AA"/>
    <w:rsid w:val="00D4408A"/>
    <w:rsid w:val="00D44458"/>
    <w:rsid w:val="00D45B22"/>
    <w:rsid w:val="00D45BFC"/>
    <w:rsid w:val="00D46211"/>
    <w:rsid w:val="00D50819"/>
    <w:rsid w:val="00D509FD"/>
    <w:rsid w:val="00D52774"/>
    <w:rsid w:val="00D536C0"/>
    <w:rsid w:val="00D551D2"/>
    <w:rsid w:val="00D553D4"/>
    <w:rsid w:val="00D56129"/>
    <w:rsid w:val="00D5714C"/>
    <w:rsid w:val="00D579B4"/>
    <w:rsid w:val="00D60B75"/>
    <w:rsid w:val="00D61181"/>
    <w:rsid w:val="00D613C1"/>
    <w:rsid w:val="00D6234B"/>
    <w:rsid w:val="00D640DD"/>
    <w:rsid w:val="00D64DC0"/>
    <w:rsid w:val="00D64F62"/>
    <w:rsid w:val="00D650B1"/>
    <w:rsid w:val="00D65CED"/>
    <w:rsid w:val="00D66394"/>
    <w:rsid w:val="00D66F59"/>
    <w:rsid w:val="00D73B18"/>
    <w:rsid w:val="00D74E21"/>
    <w:rsid w:val="00D75B5D"/>
    <w:rsid w:val="00D767FB"/>
    <w:rsid w:val="00D77F03"/>
    <w:rsid w:val="00D802C1"/>
    <w:rsid w:val="00D81544"/>
    <w:rsid w:val="00D8348C"/>
    <w:rsid w:val="00D83CDA"/>
    <w:rsid w:val="00D840F7"/>
    <w:rsid w:val="00D84ADE"/>
    <w:rsid w:val="00D856C4"/>
    <w:rsid w:val="00D85B7C"/>
    <w:rsid w:val="00D86C67"/>
    <w:rsid w:val="00D86DDC"/>
    <w:rsid w:val="00D922D2"/>
    <w:rsid w:val="00D93A76"/>
    <w:rsid w:val="00D9463B"/>
    <w:rsid w:val="00D96B29"/>
    <w:rsid w:val="00D96D65"/>
    <w:rsid w:val="00D97D90"/>
    <w:rsid w:val="00DA0467"/>
    <w:rsid w:val="00DA1DF0"/>
    <w:rsid w:val="00DA25DE"/>
    <w:rsid w:val="00DA38E9"/>
    <w:rsid w:val="00DA4C25"/>
    <w:rsid w:val="00DA505B"/>
    <w:rsid w:val="00DA5240"/>
    <w:rsid w:val="00DA6FEB"/>
    <w:rsid w:val="00DB0467"/>
    <w:rsid w:val="00DB137C"/>
    <w:rsid w:val="00DB17EF"/>
    <w:rsid w:val="00DB1B79"/>
    <w:rsid w:val="00DB1D1C"/>
    <w:rsid w:val="00DB4B87"/>
    <w:rsid w:val="00DB510C"/>
    <w:rsid w:val="00DB602E"/>
    <w:rsid w:val="00DB61AC"/>
    <w:rsid w:val="00DB73D7"/>
    <w:rsid w:val="00DB759E"/>
    <w:rsid w:val="00DC095A"/>
    <w:rsid w:val="00DC1296"/>
    <w:rsid w:val="00DC1AF3"/>
    <w:rsid w:val="00DC1E3B"/>
    <w:rsid w:val="00DC3117"/>
    <w:rsid w:val="00DC34C8"/>
    <w:rsid w:val="00DC3880"/>
    <w:rsid w:val="00DC42E2"/>
    <w:rsid w:val="00DC4470"/>
    <w:rsid w:val="00DC483A"/>
    <w:rsid w:val="00DC4F00"/>
    <w:rsid w:val="00DC5EEF"/>
    <w:rsid w:val="00DC71F7"/>
    <w:rsid w:val="00DC7AE7"/>
    <w:rsid w:val="00DD02CB"/>
    <w:rsid w:val="00DD0337"/>
    <w:rsid w:val="00DD0AD0"/>
    <w:rsid w:val="00DD1350"/>
    <w:rsid w:val="00DD414C"/>
    <w:rsid w:val="00DE0299"/>
    <w:rsid w:val="00DE0933"/>
    <w:rsid w:val="00DE0BB3"/>
    <w:rsid w:val="00DE2133"/>
    <w:rsid w:val="00DE37C1"/>
    <w:rsid w:val="00DE39A4"/>
    <w:rsid w:val="00DE3D29"/>
    <w:rsid w:val="00DE5202"/>
    <w:rsid w:val="00DE532C"/>
    <w:rsid w:val="00DE69FB"/>
    <w:rsid w:val="00DF0CF5"/>
    <w:rsid w:val="00DF0D71"/>
    <w:rsid w:val="00DF12AA"/>
    <w:rsid w:val="00DF3036"/>
    <w:rsid w:val="00DF315A"/>
    <w:rsid w:val="00DF46D4"/>
    <w:rsid w:val="00E003CF"/>
    <w:rsid w:val="00E01118"/>
    <w:rsid w:val="00E032A4"/>
    <w:rsid w:val="00E03F60"/>
    <w:rsid w:val="00E04F5A"/>
    <w:rsid w:val="00E0529C"/>
    <w:rsid w:val="00E10DA3"/>
    <w:rsid w:val="00E11BDB"/>
    <w:rsid w:val="00E127BA"/>
    <w:rsid w:val="00E12DFC"/>
    <w:rsid w:val="00E13085"/>
    <w:rsid w:val="00E131B0"/>
    <w:rsid w:val="00E131B2"/>
    <w:rsid w:val="00E13EFE"/>
    <w:rsid w:val="00E152D2"/>
    <w:rsid w:val="00E1584F"/>
    <w:rsid w:val="00E16750"/>
    <w:rsid w:val="00E2051F"/>
    <w:rsid w:val="00E230B5"/>
    <w:rsid w:val="00E252B9"/>
    <w:rsid w:val="00E25E4A"/>
    <w:rsid w:val="00E25EC7"/>
    <w:rsid w:val="00E276C3"/>
    <w:rsid w:val="00E27A83"/>
    <w:rsid w:val="00E31D1E"/>
    <w:rsid w:val="00E32CB1"/>
    <w:rsid w:val="00E338E2"/>
    <w:rsid w:val="00E33A4C"/>
    <w:rsid w:val="00E345D2"/>
    <w:rsid w:val="00E3588C"/>
    <w:rsid w:val="00E406EC"/>
    <w:rsid w:val="00E41367"/>
    <w:rsid w:val="00E43D0D"/>
    <w:rsid w:val="00E441AD"/>
    <w:rsid w:val="00E45044"/>
    <w:rsid w:val="00E46F63"/>
    <w:rsid w:val="00E472BE"/>
    <w:rsid w:val="00E47872"/>
    <w:rsid w:val="00E47E5B"/>
    <w:rsid w:val="00E5003A"/>
    <w:rsid w:val="00E5044E"/>
    <w:rsid w:val="00E51EBF"/>
    <w:rsid w:val="00E5397B"/>
    <w:rsid w:val="00E5484D"/>
    <w:rsid w:val="00E54BF5"/>
    <w:rsid w:val="00E5512A"/>
    <w:rsid w:val="00E55AE8"/>
    <w:rsid w:val="00E572E2"/>
    <w:rsid w:val="00E57F04"/>
    <w:rsid w:val="00E603EC"/>
    <w:rsid w:val="00E60D98"/>
    <w:rsid w:val="00E6196D"/>
    <w:rsid w:val="00E639CF"/>
    <w:rsid w:val="00E63C1E"/>
    <w:rsid w:val="00E67105"/>
    <w:rsid w:val="00E678F4"/>
    <w:rsid w:val="00E72460"/>
    <w:rsid w:val="00E72969"/>
    <w:rsid w:val="00E74125"/>
    <w:rsid w:val="00E744CC"/>
    <w:rsid w:val="00E77749"/>
    <w:rsid w:val="00E80356"/>
    <w:rsid w:val="00E820C8"/>
    <w:rsid w:val="00E838EE"/>
    <w:rsid w:val="00E85A79"/>
    <w:rsid w:val="00E863E1"/>
    <w:rsid w:val="00E875A2"/>
    <w:rsid w:val="00E8797F"/>
    <w:rsid w:val="00E87BA8"/>
    <w:rsid w:val="00E91659"/>
    <w:rsid w:val="00E923BB"/>
    <w:rsid w:val="00E9467D"/>
    <w:rsid w:val="00E94A4F"/>
    <w:rsid w:val="00E94BA1"/>
    <w:rsid w:val="00E96207"/>
    <w:rsid w:val="00E9632E"/>
    <w:rsid w:val="00E9683C"/>
    <w:rsid w:val="00E97007"/>
    <w:rsid w:val="00EA0F04"/>
    <w:rsid w:val="00EA1FDD"/>
    <w:rsid w:val="00EA44BF"/>
    <w:rsid w:val="00EA7344"/>
    <w:rsid w:val="00EA7D43"/>
    <w:rsid w:val="00EB02D7"/>
    <w:rsid w:val="00EB0822"/>
    <w:rsid w:val="00EB0A3D"/>
    <w:rsid w:val="00EB1400"/>
    <w:rsid w:val="00EB15BA"/>
    <w:rsid w:val="00EB379B"/>
    <w:rsid w:val="00EB3B10"/>
    <w:rsid w:val="00EB49FE"/>
    <w:rsid w:val="00EB6139"/>
    <w:rsid w:val="00EB7464"/>
    <w:rsid w:val="00EB77B9"/>
    <w:rsid w:val="00EC0DE9"/>
    <w:rsid w:val="00EC1169"/>
    <w:rsid w:val="00EC120C"/>
    <w:rsid w:val="00EC1B41"/>
    <w:rsid w:val="00ED2028"/>
    <w:rsid w:val="00ED2184"/>
    <w:rsid w:val="00ED25DE"/>
    <w:rsid w:val="00ED37AA"/>
    <w:rsid w:val="00ED5469"/>
    <w:rsid w:val="00EE0689"/>
    <w:rsid w:val="00EE06C9"/>
    <w:rsid w:val="00EE07F2"/>
    <w:rsid w:val="00EE187A"/>
    <w:rsid w:val="00EE2625"/>
    <w:rsid w:val="00EE29EF"/>
    <w:rsid w:val="00EE2B43"/>
    <w:rsid w:val="00EE3A9C"/>
    <w:rsid w:val="00EE3BC7"/>
    <w:rsid w:val="00EE52FE"/>
    <w:rsid w:val="00EE5334"/>
    <w:rsid w:val="00EE7EC6"/>
    <w:rsid w:val="00EF217B"/>
    <w:rsid w:val="00EF349A"/>
    <w:rsid w:val="00EF3EF8"/>
    <w:rsid w:val="00EF4686"/>
    <w:rsid w:val="00EF5626"/>
    <w:rsid w:val="00EF5D1D"/>
    <w:rsid w:val="00EF6A31"/>
    <w:rsid w:val="00EF7091"/>
    <w:rsid w:val="00EF71FD"/>
    <w:rsid w:val="00EF7F0F"/>
    <w:rsid w:val="00F00A53"/>
    <w:rsid w:val="00F01C14"/>
    <w:rsid w:val="00F02F78"/>
    <w:rsid w:val="00F03873"/>
    <w:rsid w:val="00F03C4D"/>
    <w:rsid w:val="00F05470"/>
    <w:rsid w:val="00F11D39"/>
    <w:rsid w:val="00F125AF"/>
    <w:rsid w:val="00F12C6B"/>
    <w:rsid w:val="00F12F22"/>
    <w:rsid w:val="00F1328E"/>
    <w:rsid w:val="00F139F9"/>
    <w:rsid w:val="00F15E6A"/>
    <w:rsid w:val="00F15FB1"/>
    <w:rsid w:val="00F171C3"/>
    <w:rsid w:val="00F172E3"/>
    <w:rsid w:val="00F203F7"/>
    <w:rsid w:val="00F22000"/>
    <w:rsid w:val="00F23877"/>
    <w:rsid w:val="00F24C8F"/>
    <w:rsid w:val="00F27131"/>
    <w:rsid w:val="00F31151"/>
    <w:rsid w:val="00F3151E"/>
    <w:rsid w:val="00F3351C"/>
    <w:rsid w:val="00F33541"/>
    <w:rsid w:val="00F34A95"/>
    <w:rsid w:val="00F352C8"/>
    <w:rsid w:val="00F36147"/>
    <w:rsid w:val="00F366DD"/>
    <w:rsid w:val="00F37420"/>
    <w:rsid w:val="00F37D47"/>
    <w:rsid w:val="00F4045B"/>
    <w:rsid w:val="00F40AD5"/>
    <w:rsid w:val="00F4344E"/>
    <w:rsid w:val="00F43621"/>
    <w:rsid w:val="00F45E44"/>
    <w:rsid w:val="00F46999"/>
    <w:rsid w:val="00F477BA"/>
    <w:rsid w:val="00F50ECD"/>
    <w:rsid w:val="00F51031"/>
    <w:rsid w:val="00F51DDC"/>
    <w:rsid w:val="00F5669E"/>
    <w:rsid w:val="00F6075B"/>
    <w:rsid w:val="00F63A96"/>
    <w:rsid w:val="00F641A9"/>
    <w:rsid w:val="00F64ACB"/>
    <w:rsid w:val="00F6576C"/>
    <w:rsid w:val="00F70510"/>
    <w:rsid w:val="00F71A29"/>
    <w:rsid w:val="00F735D4"/>
    <w:rsid w:val="00F7385B"/>
    <w:rsid w:val="00F74CD5"/>
    <w:rsid w:val="00F752CE"/>
    <w:rsid w:val="00F754C0"/>
    <w:rsid w:val="00F75715"/>
    <w:rsid w:val="00F75F6C"/>
    <w:rsid w:val="00F76089"/>
    <w:rsid w:val="00F76DCD"/>
    <w:rsid w:val="00F7799A"/>
    <w:rsid w:val="00F80CB1"/>
    <w:rsid w:val="00F82794"/>
    <w:rsid w:val="00F8293C"/>
    <w:rsid w:val="00F83790"/>
    <w:rsid w:val="00F843C7"/>
    <w:rsid w:val="00F84B56"/>
    <w:rsid w:val="00F84C3B"/>
    <w:rsid w:val="00F85C82"/>
    <w:rsid w:val="00F86976"/>
    <w:rsid w:val="00F86A64"/>
    <w:rsid w:val="00F912EB"/>
    <w:rsid w:val="00F925D7"/>
    <w:rsid w:val="00F92604"/>
    <w:rsid w:val="00F92767"/>
    <w:rsid w:val="00F932D4"/>
    <w:rsid w:val="00F94EAF"/>
    <w:rsid w:val="00F955ED"/>
    <w:rsid w:val="00F965E3"/>
    <w:rsid w:val="00F97077"/>
    <w:rsid w:val="00F97489"/>
    <w:rsid w:val="00FA00E1"/>
    <w:rsid w:val="00FA01D2"/>
    <w:rsid w:val="00FA06F1"/>
    <w:rsid w:val="00FA0FDF"/>
    <w:rsid w:val="00FA3964"/>
    <w:rsid w:val="00FA3F3A"/>
    <w:rsid w:val="00FA54C8"/>
    <w:rsid w:val="00FA6B8D"/>
    <w:rsid w:val="00FA6E24"/>
    <w:rsid w:val="00FA71B2"/>
    <w:rsid w:val="00FA79DF"/>
    <w:rsid w:val="00FB0CE3"/>
    <w:rsid w:val="00FB1B44"/>
    <w:rsid w:val="00FB2415"/>
    <w:rsid w:val="00FB3598"/>
    <w:rsid w:val="00FB35FD"/>
    <w:rsid w:val="00FB415C"/>
    <w:rsid w:val="00FB625D"/>
    <w:rsid w:val="00FB6C44"/>
    <w:rsid w:val="00FC28FA"/>
    <w:rsid w:val="00FC4E15"/>
    <w:rsid w:val="00FD0964"/>
    <w:rsid w:val="00FD19DE"/>
    <w:rsid w:val="00FD2E24"/>
    <w:rsid w:val="00FD3E5D"/>
    <w:rsid w:val="00FD4774"/>
    <w:rsid w:val="00FD54D1"/>
    <w:rsid w:val="00FD6695"/>
    <w:rsid w:val="00FD6A08"/>
    <w:rsid w:val="00FD6DEC"/>
    <w:rsid w:val="00FD70F6"/>
    <w:rsid w:val="00FE0E86"/>
    <w:rsid w:val="00FE12D2"/>
    <w:rsid w:val="00FE1FDB"/>
    <w:rsid w:val="00FE27FD"/>
    <w:rsid w:val="00FE373C"/>
    <w:rsid w:val="00FE3A32"/>
    <w:rsid w:val="00FE4314"/>
    <w:rsid w:val="00FE4884"/>
    <w:rsid w:val="00FE7923"/>
    <w:rsid w:val="00FF187B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82AD0"/>
  <w15:docId w15:val="{BDC9935C-5022-4517-ACB1-1CFD0643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5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531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700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50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66F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F09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AA4B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E3BCE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E3BCE"/>
    <w:pPr>
      <w:ind w:left="720"/>
      <w:contextualSpacing/>
    </w:pPr>
  </w:style>
  <w:style w:type="table" w:styleId="Reetkatablice">
    <w:name w:val="Table Grid"/>
    <w:basedOn w:val="Obinatablica"/>
    <w:uiPriority w:val="59"/>
    <w:rsid w:val="00E74125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A77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A77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A774C"/>
    <w:rPr>
      <w:rFonts w:ascii="Arial" w:eastAsia="Times New Roman" w:hAnsi="Arial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774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774C"/>
    <w:rPr>
      <w:rFonts w:ascii="Segoe UI" w:eastAsia="Times New Roman" w:hAnsi="Segoe UI" w:cs="Segoe UI"/>
      <w:sz w:val="18"/>
      <w:szCs w:val="18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A2AE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A2AEF"/>
    <w:rPr>
      <w:rFonts w:ascii="Arial" w:eastAsia="Times New Roman" w:hAnsi="Arial" w:cs="Times New Roman"/>
      <w:b/>
      <w:bCs/>
      <w:sz w:val="20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531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B700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D508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73A73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box460019">
    <w:name w:val="box_460019"/>
    <w:basedOn w:val="Normal"/>
    <w:rsid w:val="00C73A73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0420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4209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304209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966F6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1F090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AA4B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customStyle="1" w:styleId="Style1">
    <w:name w:val="Style1"/>
    <w:basedOn w:val="Naslov1"/>
    <w:link w:val="Style1Char"/>
    <w:qFormat/>
    <w:rsid w:val="00BD6578"/>
    <w:pPr>
      <w:numPr>
        <w:numId w:val="22"/>
      </w:numPr>
    </w:pPr>
    <w:rPr>
      <w:rFonts w:ascii="Times New Roman" w:hAnsi="Times New Roman" w:cs="Times New Roman"/>
      <w:color w:val="auto"/>
      <w:sz w:val="28"/>
      <w:szCs w:val="28"/>
    </w:rPr>
  </w:style>
  <w:style w:type="character" w:styleId="Hiperveza">
    <w:name w:val="Hyperlink"/>
    <w:basedOn w:val="Zadanifontodlomka"/>
    <w:uiPriority w:val="99"/>
    <w:unhideWhenUsed/>
    <w:rsid w:val="009D355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D3551"/>
    <w:rPr>
      <w:color w:val="800080"/>
      <w:u w:val="single"/>
    </w:rPr>
  </w:style>
  <w:style w:type="paragraph" w:customStyle="1" w:styleId="msonormal0">
    <w:name w:val="msonormal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65">
    <w:name w:val="xl6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66">
    <w:name w:val="xl66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67">
    <w:name w:val="xl6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68">
    <w:name w:val="xl6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69">
    <w:name w:val="xl6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70">
    <w:name w:val="xl70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71">
    <w:name w:val="xl7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72">
    <w:name w:val="xl7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73">
    <w:name w:val="xl7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74">
    <w:name w:val="xl74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75">
    <w:name w:val="xl7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76">
    <w:name w:val="xl7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77">
    <w:name w:val="xl7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78">
    <w:name w:val="xl7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79">
    <w:name w:val="xl79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80">
    <w:name w:val="xl8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1">
    <w:name w:val="xl81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2">
    <w:name w:val="xl8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3">
    <w:name w:val="xl8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84">
    <w:name w:val="xl8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5">
    <w:name w:val="xl8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86">
    <w:name w:val="xl8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7">
    <w:name w:val="xl8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88">
    <w:name w:val="xl8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9">
    <w:name w:val="xl8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90">
    <w:name w:val="xl9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1">
    <w:name w:val="xl9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2">
    <w:name w:val="xl9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3">
    <w:name w:val="xl9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94">
    <w:name w:val="xl9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5">
    <w:name w:val="xl95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6">
    <w:name w:val="xl96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7">
    <w:name w:val="xl97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98">
    <w:name w:val="xl98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99">
    <w:name w:val="xl99"/>
    <w:basedOn w:val="Normal"/>
    <w:rsid w:val="009D3551"/>
    <w:pPr>
      <w:widowControl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0">
    <w:name w:val="xl100"/>
    <w:basedOn w:val="Normal"/>
    <w:rsid w:val="009D3551"/>
    <w:pPr>
      <w:widowControl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1">
    <w:name w:val="xl101"/>
    <w:basedOn w:val="Normal"/>
    <w:rsid w:val="009D3551"/>
    <w:pPr>
      <w:widowControl/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</w:rPr>
  </w:style>
  <w:style w:type="paragraph" w:customStyle="1" w:styleId="xl102">
    <w:name w:val="xl10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3">
    <w:name w:val="xl10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4">
    <w:name w:val="xl10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5">
    <w:name w:val="xl10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6">
    <w:name w:val="xl10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A9694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7">
    <w:name w:val="xl10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8">
    <w:name w:val="xl10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9">
    <w:name w:val="xl10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10">
    <w:name w:val="xl11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1">
    <w:name w:val="xl11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12">
    <w:name w:val="xl11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13">
    <w:name w:val="xl11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4">
    <w:name w:val="xl11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5">
    <w:name w:val="xl11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6">
    <w:name w:val="xl11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7">
    <w:name w:val="xl11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A9694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8">
    <w:name w:val="xl11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A9694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9">
    <w:name w:val="xl11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0">
    <w:name w:val="xl12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1">
    <w:name w:val="xl12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2">
    <w:name w:val="xl12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  <w:b/>
      <w:bCs/>
    </w:rPr>
  </w:style>
  <w:style w:type="paragraph" w:customStyle="1" w:styleId="xl123">
    <w:name w:val="xl12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4">
    <w:name w:val="xl124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5">
    <w:name w:val="xl125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6">
    <w:name w:val="xl126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7">
    <w:name w:val="xl127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8">
    <w:name w:val="xl12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E6B8B7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9">
    <w:name w:val="xl12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0">
    <w:name w:val="xl13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1">
    <w:name w:val="xl13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2">
    <w:name w:val="xl13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3">
    <w:name w:val="xl13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34">
    <w:name w:val="xl13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  <w:b/>
      <w:bCs/>
    </w:rPr>
  </w:style>
  <w:style w:type="paragraph" w:customStyle="1" w:styleId="xl135">
    <w:name w:val="xl13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</w:rPr>
  </w:style>
  <w:style w:type="paragraph" w:customStyle="1" w:styleId="xl136">
    <w:name w:val="xl13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37">
    <w:name w:val="xl13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138">
    <w:name w:val="xl138"/>
    <w:basedOn w:val="Normal"/>
    <w:rsid w:val="009D3551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139">
    <w:name w:val="xl139"/>
    <w:basedOn w:val="Normal"/>
    <w:rsid w:val="009D3551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140">
    <w:name w:val="xl14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cs="Arial"/>
      <w:b/>
      <w:bCs/>
    </w:rPr>
  </w:style>
  <w:style w:type="paragraph" w:customStyle="1" w:styleId="xl141">
    <w:name w:val="xl14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142">
    <w:name w:val="xl14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43">
    <w:name w:val="xl14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4">
    <w:name w:val="xl14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5">
    <w:name w:val="xl145"/>
    <w:basedOn w:val="Normal"/>
    <w:rsid w:val="009D355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6">
    <w:name w:val="xl14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7">
    <w:name w:val="xl147"/>
    <w:basedOn w:val="Normal"/>
    <w:rsid w:val="009D355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8">
    <w:name w:val="xl148"/>
    <w:basedOn w:val="Normal"/>
    <w:rsid w:val="00D75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styleId="Revizija">
    <w:name w:val="Revision"/>
    <w:hidden/>
    <w:uiPriority w:val="99"/>
    <w:semiHidden/>
    <w:rsid w:val="006C36B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StilTablice">
    <w:name w:val="StilTablice"/>
    <w:basedOn w:val="Obinatablica"/>
    <w:uiPriority w:val="99"/>
    <w:rsid w:val="00A507A1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Tekstkomentara1">
    <w:name w:val="Tekst komentara1"/>
    <w:basedOn w:val="Normal"/>
    <w:next w:val="Tekstkomentara"/>
    <w:uiPriority w:val="99"/>
    <w:unhideWhenUsed/>
    <w:rsid w:val="00A507A1"/>
    <w:pPr>
      <w:widowControl/>
      <w:autoSpaceDE/>
      <w:autoSpaceDN/>
      <w:adjustRightInd/>
      <w:spacing w:after="16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ellHeader">
    <w:name w:val="CellHeader"/>
    <w:basedOn w:val="Normal"/>
    <w:qFormat/>
    <w:rsid w:val="00916FC3"/>
    <w:pPr>
      <w:widowControl/>
      <w:overflowPunct w:val="0"/>
      <w:spacing w:after="120"/>
      <w:textAlignment w:val="baseline"/>
    </w:pPr>
    <w:rPr>
      <w:rFonts w:ascii="Times New Roman" w:hAnsi="Times New Roman" w:cs="Arial"/>
      <w:bCs/>
      <w:sz w:val="20"/>
      <w:szCs w:val="22"/>
      <w:lang w:val="sl-SI"/>
    </w:rPr>
  </w:style>
  <w:style w:type="table" w:customStyle="1" w:styleId="StilTablice1">
    <w:name w:val="StilTablice1"/>
    <w:basedOn w:val="Obinatablica"/>
    <w:uiPriority w:val="99"/>
    <w:rsid w:val="00110229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Zaglavlje">
    <w:name w:val="header"/>
    <w:basedOn w:val="Normal"/>
    <w:link w:val="ZaglavljeChar"/>
    <w:uiPriority w:val="99"/>
    <w:unhideWhenUsed/>
    <w:rsid w:val="00B173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17380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173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17380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xl149">
    <w:name w:val="xl149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D8E4BC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</w:rPr>
  </w:style>
  <w:style w:type="paragraph" w:customStyle="1" w:styleId="xl150">
    <w:name w:val="xl150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E6B8B7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</w:rPr>
  </w:style>
  <w:style w:type="paragraph" w:customStyle="1" w:styleId="xl151">
    <w:name w:val="xl151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2">
    <w:name w:val="xl152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</w:rPr>
  </w:style>
  <w:style w:type="paragraph" w:customStyle="1" w:styleId="xl153">
    <w:name w:val="xl153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4">
    <w:name w:val="xl154"/>
    <w:basedOn w:val="Normal"/>
    <w:rsid w:val="00A610B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5">
    <w:name w:val="xl155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6">
    <w:name w:val="xl156"/>
    <w:basedOn w:val="Normal"/>
    <w:rsid w:val="00A610B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7">
    <w:name w:val="xl157"/>
    <w:basedOn w:val="Normal"/>
    <w:rsid w:val="006276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4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58">
    <w:name w:val="xl158"/>
    <w:basedOn w:val="Normal"/>
    <w:rsid w:val="0062767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9">
    <w:name w:val="xl159"/>
    <w:basedOn w:val="Normal"/>
    <w:rsid w:val="0062767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60">
    <w:name w:val="xl160"/>
    <w:basedOn w:val="Normal"/>
    <w:rsid w:val="0062767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61">
    <w:name w:val="xl161"/>
    <w:basedOn w:val="Normal"/>
    <w:rsid w:val="0062767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styleId="TOCNaslov">
    <w:name w:val="TOC Heading"/>
    <w:basedOn w:val="Naslov1"/>
    <w:next w:val="Normal"/>
    <w:uiPriority w:val="39"/>
    <w:unhideWhenUsed/>
    <w:qFormat/>
    <w:rsid w:val="00397DD8"/>
    <w:pPr>
      <w:widowControl/>
      <w:autoSpaceDE/>
      <w:autoSpaceDN/>
      <w:adjustRightInd/>
      <w:spacing w:line="259" w:lineRule="auto"/>
      <w:jc w:val="left"/>
      <w:outlineLvl w:val="9"/>
    </w:pPr>
  </w:style>
  <w:style w:type="paragraph" w:styleId="Sadraj2">
    <w:name w:val="toc 2"/>
    <w:basedOn w:val="Normal"/>
    <w:next w:val="Normal"/>
    <w:autoRedefine/>
    <w:uiPriority w:val="39"/>
    <w:unhideWhenUsed/>
    <w:rsid w:val="00ED37AA"/>
    <w:pPr>
      <w:tabs>
        <w:tab w:val="left" w:pos="1134"/>
        <w:tab w:val="right" w:leader="dot" w:pos="9628"/>
      </w:tabs>
      <w:spacing w:after="100"/>
      <w:ind w:left="1134" w:hanging="567"/>
      <w:jc w:val="left"/>
    </w:pPr>
  </w:style>
  <w:style w:type="paragraph" w:styleId="Sadraj3">
    <w:name w:val="toc 3"/>
    <w:basedOn w:val="Normal"/>
    <w:next w:val="Normal"/>
    <w:autoRedefine/>
    <w:uiPriority w:val="39"/>
    <w:unhideWhenUsed/>
    <w:rsid w:val="00ED37AA"/>
    <w:pPr>
      <w:tabs>
        <w:tab w:val="left" w:pos="567"/>
        <w:tab w:val="left" w:pos="1540"/>
        <w:tab w:val="right" w:leader="dot" w:pos="9628"/>
      </w:tabs>
      <w:spacing w:after="100"/>
      <w:ind w:left="1701" w:hanging="567"/>
      <w:jc w:val="left"/>
    </w:pPr>
    <w:rPr>
      <w:rFonts w:ascii="Times New Roman" w:hAnsi="Times New Roman"/>
      <w:noProof/>
    </w:rPr>
  </w:style>
  <w:style w:type="paragraph" w:styleId="Sadraj1">
    <w:name w:val="toc 1"/>
    <w:basedOn w:val="Normal"/>
    <w:next w:val="Normal"/>
    <w:autoRedefine/>
    <w:uiPriority w:val="39"/>
    <w:unhideWhenUsed/>
    <w:rsid w:val="00ED37AA"/>
    <w:pPr>
      <w:widowControl/>
      <w:tabs>
        <w:tab w:val="left" w:pos="851"/>
        <w:tab w:val="right" w:leader="dot" w:pos="9628"/>
      </w:tabs>
      <w:autoSpaceDE/>
      <w:autoSpaceDN/>
      <w:adjustRightInd/>
      <w:spacing w:after="100" w:line="259" w:lineRule="auto"/>
      <w:ind w:left="567" w:hanging="567"/>
      <w:jc w:val="left"/>
    </w:pPr>
    <w:rPr>
      <w:rFonts w:ascii="Times New Roman" w:eastAsiaTheme="minorEastAsia" w:hAnsi="Times New Roman"/>
      <w:b/>
      <w:bCs/>
      <w:noProof/>
      <w:sz w:val="28"/>
      <w:szCs w:val="28"/>
    </w:rPr>
  </w:style>
  <w:style w:type="character" w:customStyle="1" w:styleId="Style1Char">
    <w:name w:val="Style1 Char"/>
    <w:basedOn w:val="Naslov1Char"/>
    <w:link w:val="Style1"/>
    <w:rsid w:val="00BD6578"/>
    <w:rPr>
      <w:rFonts w:ascii="Times New Roman" w:eastAsiaTheme="majorEastAsia" w:hAnsi="Times New Roman" w:cs="Times New Roman"/>
      <w:color w:val="2E74B5" w:themeColor="accent1" w:themeShade="BF"/>
      <w:sz w:val="28"/>
      <w:szCs w:val="28"/>
      <w:lang w:eastAsia="hr-HR"/>
    </w:rPr>
  </w:style>
  <w:style w:type="paragraph" w:customStyle="1" w:styleId="Default">
    <w:name w:val="Default"/>
    <w:rsid w:val="00E15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64BC9-0C4C-4F83-A463-03254ABE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4463</Words>
  <Characters>25443</Characters>
  <Application>Microsoft Office Word</Application>
  <DocSecurity>0</DocSecurity>
  <Lines>212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Lana Korazija</dc:creator>
  <cp:lastModifiedBy>Josipa Maraković</cp:lastModifiedBy>
  <cp:revision>2</cp:revision>
  <cp:lastPrinted>2023-09-01T08:05:00Z</cp:lastPrinted>
  <dcterms:created xsi:type="dcterms:W3CDTF">2023-09-05T13:11:00Z</dcterms:created>
  <dcterms:modified xsi:type="dcterms:W3CDTF">2023-09-05T13:11:00Z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20b769388a9158edffbd64bf67f6471a50aead2745a6a5eedb03ca85e7712f89</vt:lpwstr>
  </property>
</Properties>
</file>